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FB4D5" w14:textId="77777777" w:rsidR="0022627F" w:rsidRDefault="0022627F">
      <w:pPr>
        <w:rPr>
          <w:sz w:val="22"/>
          <w:szCs w:val="22"/>
        </w:rPr>
      </w:pPr>
    </w:p>
    <w:p w14:paraId="5F793189" w14:textId="77777777" w:rsidR="0022627F" w:rsidRDefault="00510F64">
      <w:pPr>
        <w:tabs>
          <w:tab w:val="left" w:pos="5387"/>
          <w:tab w:val="left" w:pos="5670"/>
        </w:tabs>
        <w:jc w:val="center"/>
        <w:rPr>
          <w:b/>
          <w:szCs w:val="24"/>
        </w:rPr>
      </w:pPr>
      <w:r>
        <w:rPr>
          <w:b/>
          <w:szCs w:val="24"/>
        </w:rPr>
        <w:t>VI SKYRIUS</w:t>
      </w:r>
    </w:p>
    <w:p w14:paraId="476E2CA9" w14:textId="77777777" w:rsidR="0022627F" w:rsidRDefault="00510F64">
      <w:pPr>
        <w:tabs>
          <w:tab w:val="left" w:pos="3402"/>
          <w:tab w:val="left" w:pos="4253"/>
          <w:tab w:val="left" w:pos="4536"/>
          <w:tab w:val="left" w:pos="4678"/>
        </w:tabs>
        <w:jc w:val="center"/>
        <w:rPr>
          <w:b/>
          <w:szCs w:val="24"/>
        </w:rPr>
      </w:pPr>
      <w:r>
        <w:rPr>
          <w:b/>
          <w:szCs w:val="24"/>
        </w:rPr>
        <w:t>PAREIŠKĖJO DEKLARACIJA</w:t>
      </w:r>
    </w:p>
    <w:p w14:paraId="68B42BB4" w14:textId="77777777" w:rsidR="0022627F" w:rsidRDefault="0022627F">
      <w:pPr>
        <w:tabs>
          <w:tab w:val="left" w:pos="3402"/>
          <w:tab w:val="left" w:pos="4253"/>
          <w:tab w:val="left" w:pos="4536"/>
          <w:tab w:val="left" w:pos="4678"/>
        </w:tabs>
        <w:jc w:val="center"/>
        <w:rPr>
          <w:szCs w:val="24"/>
        </w:rPr>
      </w:pPr>
    </w:p>
    <w:p w14:paraId="62FD9033" w14:textId="75E2BDD1" w:rsidR="0022627F" w:rsidRDefault="006D21C7">
      <w:pPr>
        <w:ind w:left="540"/>
        <w:rPr>
          <w:sz w:val="22"/>
          <w:szCs w:val="22"/>
        </w:rPr>
      </w:pPr>
      <w:sdt>
        <w:sdtPr>
          <w:rPr>
            <w:sz w:val="22"/>
            <w:szCs w:val="22"/>
          </w:rPr>
          <w:id w:val="-1323118144"/>
          <w14:checkbox>
            <w14:checked w14:val="1"/>
            <w14:checkedState w14:val="2612" w14:font="MS Gothic"/>
            <w14:uncheckedState w14:val="2610" w14:font="MS Gothic"/>
          </w14:checkbox>
        </w:sdtPr>
        <w:sdtEndPr/>
        <w:sdtContent>
          <w:r w:rsidR="00397BF9">
            <w:rPr>
              <w:rFonts w:ascii="MS Gothic" w:eastAsia="MS Gothic" w:hAnsi="MS Gothic" w:hint="eastAsia"/>
              <w:sz w:val="22"/>
              <w:szCs w:val="22"/>
            </w:rPr>
            <w:t>☒</w:t>
          </w:r>
        </w:sdtContent>
      </w:sdt>
      <w:r w:rsidR="00510F64">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22627F" w14:paraId="7688CAB5" w14:textId="77777777">
        <w:trPr>
          <w:trHeight w:val="840"/>
        </w:trPr>
        <w:tc>
          <w:tcPr>
            <w:tcW w:w="13750" w:type="dxa"/>
          </w:tcPr>
          <w:p w14:paraId="3491DF60" w14:textId="77777777" w:rsidR="0022627F" w:rsidRDefault="00510F64">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5B334076" w14:textId="77777777" w:rsidR="0022627F" w:rsidRDefault="00510F64">
            <w:pPr>
              <w:ind w:firstLine="425"/>
              <w:jc w:val="both"/>
              <w:rPr>
                <w:sz w:val="22"/>
                <w:szCs w:val="22"/>
                <w:lang w:eastAsia="lt-LT"/>
              </w:rPr>
            </w:pPr>
            <w:r>
              <w:rPr>
                <w:sz w:val="22"/>
                <w:szCs w:val="22"/>
                <w:lang w:eastAsia="lt-LT"/>
              </w:rPr>
              <w:t>2. Esu susipažinęs (-usi) su projekto finansavimo sąlygomis, tvarka ir reikalavimais, nustatytais kvietime teikti PĮP.</w:t>
            </w:r>
          </w:p>
          <w:p w14:paraId="583CDFDC" w14:textId="77777777" w:rsidR="0022627F" w:rsidRDefault="00510F64">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3264D177" w14:textId="77777777" w:rsidR="0022627F" w:rsidRDefault="00510F64">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o </w:t>
            </w:r>
            <w:r>
              <w:rPr>
                <w:color w:val="000000"/>
                <w:sz w:val="22"/>
                <w:szCs w:val="22"/>
              </w:rPr>
              <w:t xml:space="preserve">kai įgyvendinami </w:t>
            </w:r>
            <w:r>
              <w:rPr>
                <w:sz w:val="22"/>
                <w:szCs w:val="22"/>
                <w:shd w:val="clear" w:color="auto" w:fill="FFFFFF"/>
                <w:lang w:eastAsia="lt-LT"/>
              </w:rPr>
              <w:t xml:space="preserve">RPPl projektai, – Gairėse ir </w:t>
            </w:r>
            <w:r>
              <w:rPr>
                <w:bCs/>
                <w:sz w:val="22"/>
                <w:szCs w:val="22"/>
                <w:shd w:val="clear" w:color="auto" w:fill="FFFFFF"/>
                <w:lang w:eastAsia="lt-LT"/>
              </w:rPr>
              <w:t>(ar)</w:t>
            </w:r>
            <w:r>
              <w:rPr>
                <w:sz w:val="22"/>
                <w:szCs w:val="22"/>
                <w:shd w:val="clear" w:color="auto" w:fill="FFFFFF"/>
                <w:lang w:eastAsia="lt-LT"/>
              </w:rPr>
              <w:t xml:space="preserve"> RPPl</w:t>
            </w:r>
            <w:r>
              <w:rPr>
                <w:bCs/>
                <w:sz w:val="22"/>
                <w:szCs w:val="22"/>
              </w:rPr>
              <w:t xml:space="preserve"> nustatytų reikalavimų dėl HP ir atitinkamų Chartijos nuostatų laikymosi</w:t>
            </w:r>
            <w:r>
              <w:rPr>
                <w:sz w:val="22"/>
                <w:szCs w:val="22"/>
              </w:rPr>
              <w:t xml:space="preserve">. </w:t>
            </w:r>
          </w:p>
          <w:p w14:paraId="60C49433" w14:textId="77777777" w:rsidR="0022627F" w:rsidRDefault="00510F64">
            <w:pPr>
              <w:ind w:firstLine="425"/>
              <w:jc w:val="both"/>
              <w:rPr>
                <w:sz w:val="22"/>
                <w:szCs w:val="22"/>
              </w:rPr>
            </w:pPr>
            <w:r>
              <w:rPr>
                <w:sz w:val="22"/>
                <w:szCs w:val="22"/>
              </w:rPr>
              <w:t xml:space="preserve">5. </w:t>
            </w:r>
            <w:r>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70765DCA" w14:textId="77777777" w:rsidR="0022627F" w:rsidRDefault="00510F64">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biudžetinėms įstaigoms ir pareiškėjams, kuriems Lietuvos Respublikos teisės aktų nustatyta tvarka yra atidėti mokesčių arba socialinio draudimo įmokų mokėjimo terminai)</w:t>
            </w:r>
            <w:r>
              <w:rPr>
                <w:sz w:val="22"/>
                <w:szCs w:val="22"/>
              </w:rPr>
              <w:t>.</w:t>
            </w:r>
          </w:p>
          <w:p w14:paraId="07F8F27E" w14:textId="77777777" w:rsidR="0022627F" w:rsidRDefault="00510F64">
            <w:pPr>
              <w:ind w:firstLine="460"/>
              <w:jc w:val="both"/>
              <w:rPr>
                <w:iCs/>
                <w:sz w:val="22"/>
                <w:szCs w:val="22"/>
              </w:rPr>
            </w:pPr>
            <w:r>
              <w:rPr>
                <w:sz w:val="22"/>
                <w:szCs w:val="22"/>
                <w:lang w:eastAsia="lt-LT"/>
              </w:rPr>
              <w:t>7.</w:t>
            </w:r>
            <w:r w:rsidR="00B40041">
              <w:rPr>
                <w:sz w:val="22"/>
                <w:szCs w:val="22"/>
                <w:lang w:eastAsia="lt-LT"/>
              </w:rPr>
              <w:t xml:space="preserve"> </w:t>
            </w:r>
            <w:r w:rsidR="00701FED">
              <w:rPr>
                <w:sz w:val="22"/>
                <w:szCs w:val="22"/>
              </w:rPr>
              <w:t xml:space="preserve">Mano atstovaujamo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(asmenys), ar kitas (kiti) asmuo (asmenys), turintis (-ys) teisę surašyti ir pasirašyti pareiškėjo apskaitos dokumentus, PĮP pateikimo dieną neturi neišnykusio arba nepanaikinto teistumo arba dėl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w:t>
            </w:r>
            <w:r w:rsidR="00701FED">
              <w:rPr>
                <w:sz w:val="22"/>
                <w:szCs w:val="22"/>
              </w:rPr>
              <w:lastRenderedPageBreak/>
              <w:t xml:space="preserve">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w:t>
            </w:r>
            <w:r w:rsidR="00701FED">
              <w:rPr>
                <w:iCs/>
                <w:sz w:val="22"/>
                <w:szCs w:val="22"/>
              </w:rPr>
              <w:t xml:space="preserve">arba </w:t>
            </w:r>
            <w:r w:rsidR="00701FED">
              <w:rPr>
                <w:sz w:val="22"/>
              </w:rPr>
              <w:t xml:space="preserve">nėra subjektas, kuriam taikomos sankcijos, kaip jis apibrėžtas Lietuvos Respublikos tarptautinių sankcijų įstatymo 2 straipsnio 4 dalyje </w:t>
            </w:r>
            <w:r w:rsidR="00701FED">
              <w:rPr>
                <w:sz w:val="22"/>
                <w:szCs w:val="22"/>
              </w:rPr>
              <w:t>(</w:t>
            </w:r>
            <w:r w:rsidR="00701FED">
              <w:rPr>
                <w:i/>
                <w:iCs/>
                <w:sz w:val="22"/>
                <w:szCs w:val="22"/>
              </w:rPr>
              <w:t>netaikoma biudžetinėms įstaigoms ir asmenims, kuriems Lietuvos Respublikos arba Europos Sąjungos teisės aktų nustatyta tvarka taikomas nepriekaištingos reputacijos reikalavimas)</w:t>
            </w:r>
            <w:r w:rsidR="00701FED">
              <w:rPr>
                <w:iCs/>
                <w:sz w:val="22"/>
                <w:szCs w:val="22"/>
              </w:rPr>
              <w:t xml:space="preserve">. Esu informuotas (-a), kad šiame punkte nurodytų asmenų teistumo duomenys tvarkomi vykdant 2024 m. rugsėjo 23 d. Europos Parlamento ir Tarybos reglamento </w:t>
            </w:r>
            <w:hyperlink r:id="rId10" w:tgtFrame="_blank" w:history="1">
              <w:r w:rsidR="00701FED">
                <w:rPr>
                  <w:iCs/>
                  <w:color w:val="0563C1" w:themeColor="hyperlink"/>
                  <w:sz w:val="22"/>
                  <w:szCs w:val="22"/>
                  <w:u w:val="single"/>
                </w:rPr>
                <w:t>(ES, Euratomas) 2024/2509</w:t>
              </w:r>
            </w:hyperlink>
            <w:r w:rsidR="00701FED">
              <w:rPr>
                <w:iCs/>
                <w:sz w:val="22"/>
                <w:szCs w:val="22"/>
              </w:rPr>
              <w:t xml:space="preserve"> dėl Sąjungos bendrajam biudžetui taikomų finansinių taisyklių 138 straipsnio 1 dalyje nustatytą pareigą</w:t>
            </w:r>
            <w:r w:rsidR="00FB67FB">
              <w:rPr>
                <w:iCs/>
                <w:sz w:val="22"/>
                <w:szCs w:val="22"/>
                <w:lang w:eastAsia="lt-LT"/>
              </w:rPr>
              <w:t>.</w:t>
            </w:r>
          </w:p>
          <w:p w14:paraId="747B72A9" w14:textId="77777777" w:rsidR="0022627F" w:rsidRDefault="00510F64">
            <w:pPr>
              <w:ind w:firstLine="426"/>
              <w:jc w:val="both"/>
              <w:rPr>
                <w:sz w:val="22"/>
                <w:szCs w:val="22"/>
              </w:rPr>
            </w:pPr>
            <w:r>
              <w:rPr>
                <w:sz w:val="22"/>
                <w:szCs w:val="22"/>
                <w:lang w:eastAsia="lt-LT"/>
              </w:rPr>
              <w:t xml:space="preserve">8. </w:t>
            </w:r>
            <w:r w:rsidR="00F40F95">
              <w:rPr>
                <w:sz w:val="22"/>
                <w:szCs w:val="22"/>
              </w:rPr>
              <w:t xml:space="preserve">Mano atstovaujamas pareiškėjas įsipareigoja 5 metus nuo projekto finansavimo pabaigos (arba kitą laikotarpį, nustatytą projektų finansavimo sąlygų apraše arba Gairėse) nenutraukti gamybinės veiklos arba neperkelti jos už konkretaus Investicijų programos regiono ribų, taip pat už Lietuvos ribų </w:t>
            </w:r>
            <w:r w:rsidR="00F40F95">
              <w:rPr>
                <w:i/>
                <w:iCs/>
                <w:sz w:val="22"/>
                <w:szCs w:val="22"/>
              </w:rPr>
              <w:t>(taikoma, kai projektas finansuojamas iš Sanglaudos fondo, ERPF arba TPF ir investuojama į infrastruktūrą arba gamybą (prekių ar paslaugų kūrimą). Netaikoma,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bet nefinansuotas arba bendrai finansuojamas pagal programą, bendrai finansuojamą bendrosios mokslinių tyrimų ir inovacijų programos „Europos horizontas“ (toliau – programa „Europos horizontas“) lėšomis, įskaitant Europos atominės energijos bendrijos mokslinių tyrimų ir mokymo programą, papildančią programą „Europos horizontas“, ir jį planuojama finansuoti iš ERPF arba ESF+ lėšų)</w:t>
            </w:r>
            <w:r w:rsidR="00F40F95">
              <w:rPr>
                <w:sz w:val="22"/>
                <w:szCs w:val="22"/>
              </w:rPr>
              <w:t>. Mano atstovaujamas pareiškėjas įsipareigoja užtikrinti, kad jungtinio projekto projektų vykdytojai vykdys investicijų tęstinumo reikalavimus, kaip nustatyta Projektų administravimo ir finansavimo taisyklių 246–247 punktuose.</w:t>
            </w:r>
          </w:p>
          <w:p w14:paraId="3EEAA1A6" w14:textId="77777777" w:rsidR="0022627F" w:rsidRDefault="00510F64">
            <w:pPr>
              <w:ind w:firstLine="426"/>
              <w:jc w:val="both"/>
              <w:rPr>
                <w:bCs/>
                <w:iCs/>
                <w:sz w:val="22"/>
                <w:szCs w:val="24"/>
              </w:rPr>
            </w:pPr>
            <w:r>
              <w:rPr>
                <w:iCs/>
                <w:sz w:val="22"/>
                <w:szCs w:val="24"/>
              </w:rPr>
              <w:t>8</w:t>
            </w:r>
            <w:r>
              <w:rPr>
                <w:iCs/>
                <w:sz w:val="22"/>
                <w:szCs w:val="24"/>
                <w:vertAlign w:val="superscript"/>
              </w:rPr>
              <w:t>1</w:t>
            </w:r>
            <w:r>
              <w:rPr>
                <w:iCs/>
                <w:sz w:val="22"/>
                <w:szCs w:val="24"/>
              </w:rPr>
              <w:t xml:space="preserve">. </w:t>
            </w:r>
            <w:r w:rsidR="00BA2F5A">
              <w:rPr>
                <w:bCs/>
                <w:iCs/>
                <w:sz w:val="22"/>
              </w:rPr>
              <w:t xml:space="preserve">Mano atstovaujamas pareiškėjas </w:t>
            </w:r>
            <w:r w:rsidR="00BA2F5A">
              <w:rPr>
                <w:kern w:val="2"/>
                <w:sz w:val="22"/>
                <w:szCs w:val="22"/>
              </w:rPr>
              <w:t xml:space="preserve">per 2 metus iki projekto įgyvendinimo plano pateikimo dienos </w:t>
            </w:r>
            <w:r w:rsidR="00BA2F5A">
              <w:rPr>
                <w:bCs/>
                <w:iCs/>
                <w:sz w:val="22"/>
              </w:rPr>
              <w:t>nėra perkėlęs (kaip apibrėžta</w:t>
            </w:r>
            <w:r w:rsidR="00BA2F5A">
              <w:rPr>
                <w:iCs/>
                <w:sz w:val="22"/>
              </w:rPr>
              <w:t xml:space="preserve"> </w:t>
            </w:r>
            <w:r w:rsidR="00BA2F5A">
              <w:rPr>
                <w:bCs/>
                <w:iCs/>
                <w:sz w:val="22"/>
              </w:rPr>
              <w:t xml:space="preserve">2014 m. birželio 17 d. Komisijos reglamento </w:t>
            </w:r>
            <w:hyperlink r:id="rId11" w:tgtFrame="_blank" w:history="1">
              <w:r w:rsidR="00BA2F5A">
                <w:rPr>
                  <w:bCs/>
                  <w:iCs/>
                  <w:color w:val="0563C1" w:themeColor="hyperlink"/>
                  <w:sz w:val="22"/>
                  <w:u w:val="single"/>
                </w:rPr>
                <w:t>(ES) Nr. 651/2014</w:t>
              </w:r>
            </w:hyperlink>
            <w:r w:rsidR="00BA2F5A">
              <w:rPr>
                <w:bCs/>
                <w:iCs/>
                <w:sz w:val="22"/>
              </w:rPr>
              <w:t xml:space="preserve">, kuriuo tam tikrų kategorijų pagalba skelbiama suderinama su vidaus rinka taikant Sutarties 107 ir 108 straipsnius, su visais pakeitimais 2 straipsnio 61a punkte) PĮP nurodytai veiklai tapačios veiklos arba jos dalies ar panašios veiklos iš kitoje Europos ekonominės erdvės valstybėje esančios įmonės į Lietuvos Respublikoje esančią įmonę, kuriai prašoma suteikti finansavimą, </w:t>
            </w:r>
            <w:r w:rsidR="00BA2F5A">
              <w:rPr>
                <w:kern w:val="2"/>
                <w:sz w:val="22"/>
                <w:szCs w:val="22"/>
              </w:rPr>
              <w:t xml:space="preserve">o kai pareiškėjui teikiama regioninė investicinė pagalba pagal Reglamento </w:t>
            </w:r>
            <w:hyperlink r:id="rId12" w:tgtFrame="_blank" w:history="1">
              <w:r w:rsidR="00BA2F5A">
                <w:rPr>
                  <w:color w:val="0563C1" w:themeColor="hyperlink"/>
                  <w:kern w:val="2"/>
                  <w:sz w:val="22"/>
                  <w:szCs w:val="22"/>
                  <w:u w:val="single"/>
                </w:rPr>
                <w:t>(ES) Nr. 651/2014</w:t>
              </w:r>
            </w:hyperlink>
            <w:r w:rsidR="00BA2F5A">
              <w:rPr>
                <w:kern w:val="2"/>
                <w:sz w:val="22"/>
                <w:szCs w:val="22"/>
              </w:rPr>
              <w:t xml:space="preserve"> 14 straipsnį, papildomai </w:t>
            </w:r>
            <w:r w:rsidR="00BA2F5A">
              <w:rPr>
                <w:bCs/>
                <w:iCs/>
                <w:sz w:val="22"/>
              </w:rPr>
              <w:t>įsipareigoja to nedaryti projekto įgyvendinimo metu bei 2 metus po projekto įgyvendinimo pabaigos</w:t>
            </w:r>
            <w:r w:rsidR="00BA2F5A">
              <w:rPr>
                <w:kern w:val="2"/>
                <w:sz w:val="22"/>
                <w:szCs w:val="22"/>
              </w:rPr>
              <w:t xml:space="preserve">, kaip tai nustatyta Reglamento </w:t>
            </w:r>
            <w:hyperlink r:id="rId13" w:tgtFrame="_blank" w:history="1">
              <w:r w:rsidR="00BA2F5A">
                <w:rPr>
                  <w:color w:val="0563C1" w:themeColor="hyperlink"/>
                  <w:kern w:val="2"/>
                  <w:sz w:val="22"/>
                  <w:szCs w:val="22"/>
                  <w:u w:val="single"/>
                </w:rPr>
                <w:t>(ES) Nr. 651/2014</w:t>
              </w:r>
            </w:hyperlink>
            <w:r w:rsidR="00BA2F5A">
              <w:rPr>
                <w:kern w:val="2"/>
                <w:sz w:val="22"/>
                <w:szCs w:val="22"/>
              </w:rPr>
              <w:t xml:space="preserve"> 14 straipsnio 16 dalyje. Šiame punkte įmonė suprantama kaip</w:t>
            </w:r>
            <w:r w:rsidR="00BA2F5A">
              <w:rPr>
                <w:kern w:val="2"/>
              </w:rPr>
              <w:t xml:space="preserve"> </w:t>
            </w:r>
            <w:r w:rsidR="00BA2F5A">
              <w:rPr>
                <w:kern w:val="2"/>
                <w:sz w:val="22"/>
                <w:szCs w:val="22"/>
              </w:rPr>
              <w:t xml:space="preserve">ekonominę veiklą vykdantis subjektas, kad ir koks būtų jo teisinis statusas, t. y. taip, kaip ši sąvoka apibrėžta Reglamento </w:t>
            </w:r>
            <w:hyperlink r:id="rId14" w:tgtFrame="_blank" w:history="1">
              <w:r w:rsidR="00BA2F5A">
                <w:rPr>
                  <w:color w:val="0563C1" w:themeColor="hyperlink"/>
                  <w:kern w:val="2"/>
                  <w:sz w:val="22"/>
                  <w:szCs w:val="22"/>
                  <w:u w:val="single"/>
                </w:rPr>
                <w:t>(ES) Nr. 651/2014</w:t>
              </w:r>
            </w:hyperlink>
            <w:r w:rsidR="00BA2F5A">
              <w:rPr>
                <w:kern w:val="2"/>
                <w:sz w:val="22"/>
                <w:szCs w:val="22"/>
              </w:rPr>
              <w:t xml:space="preserve"> I priedo 1 straipsnyje (</w:t>
            </w:r>
            <w:r w:rsidR="00BA2F5A">
              <w:rPr>
                <w:i/>
                <w:iCs/>
                <w:kern w:val="2"/>
                <w:sz w:val="22"/>
                <w:szCs w:val="22"/>
              </w:rPr>
              <w:t xml:space="preserve">reikalavimai taikomi pareiškėjams, kuriems finansavimas skiriamas iš </w:t>
            </w:r>
            <w:r w:rsidR="00BA2F5A">
              <w:rPr>
                <w:i/>
                <w:iCs/>
                <w:sz w:val="22"/>
                <w:szCs w:val="22"/>
              </w:rPr>
              <w:t>2021–2027 metų Europos Sąjungos fondų investicijų programos lėšų</w:t>
            </w:r>
            <w:r w:rsidR="00BA2F5A">
              <w:rPr>
                <w:i/>
                <w:iCs/>
                <w:kern w:val="2"/>
                <w:sz w:val="22"/>
                <w:szCs w:val="22"/>
              </w:rPr>
              <w:t xml:space="preserve">, kaip ekonominę veiklą vykdantiems subjektams, kad ir koks būtų jų teisinis statusas. Reikalavimai taikomi ir projektams, finansuojamiems iš </w:t>
            </w:r>
            <w:r w:rsidR="00BA2F5A">
              <w:rPr>
                <w:i/>
                <w:iCs/>
                <w:sz w:val="22"/>
                <w:szCs w:val="22"/>
              </w:rPr>
              <w:t>Ekonomikos gaivinimo ir atsparumo didinimo priemonės (toliau – EGADP) lėšų</w:t>
            </w:r>
            <w:r w:rsidR="00BA2F5A">
              <w:rPr>
                <w:i/>
                <w:iCs/>
                <w:kern w:val="2"/>
                <w:sz w:val="22"/>
                <w:szCs w:val="22"/>
              </w:rPr>
              <w:t xml:space="preserve">, kai pareiškėjui teikiama regioninė investicinė pagalba pagal Reglamento </w:t>
            </w:r>
            <w:hyperlink r:id="rId15" w:tgtFrame="_blank" w:history="1">
              <w:r w:rsidR="00BA2F5A">
                <w:rPr>
                  <w:i/>
                  <w:iCs/>
                  <w:color w:val="0563C1" w:themeColor="hyperlink"/>
                  <w:kern w:val="2"/>
                  <w:sz w:val="22"/>
                  <w:szCs w:val="22"/>
                  <w:u w:val="single"/>
                </w:rPr>
                <w:t>(ES) Nr. 651/2014</w:t>
              </w:r>
            </w:hyperlink>
            <w:r w:rsidR="00BA2F5A">
              <w:rPr>
                <w:i/>
                <w:iCs/>
                <w:kern w:val="2"/>
                <w:sz w:val="22"/>
                <w:szCs w:val="22"/>
              </w:rPr>
              <w:t xml:space="preserve"> 14 straipsnį</w:t>
            </w:r>
            <w:r w:rsidR="00BA2F5A">
              <w:rPr>
                <w:kern w:val="2"/>
                <w:sz w:val="22"/>
                <w:szCs w:val="22"/>
              </w:rPr>
              <w:t>)</w:t>
            </w:r>
            <w:r w:rsidR="00BA2F5A">
              <w:rPr>
                <w:bCs/>
                <w:iCs/>
                <w:sz w:val="22"/>
              </w:rPr>
              <w:t>.</w:t>
            </w:r>
          </w:p>
          <w:p w14:paraId="4A4838A4" w14:textId="77777777" w:rsidR="00F40F95" w:rsidRPr="00F40F95" w:rsidRDefault="00F40F95" w:rsidP="00F40F95">
            <w:pPr>
              <w:ind w:firstLine="426"/>
              <w:jc w:val="both"/>
              <w:rPr>
                <w:color w:val="000000"/>
                <w:szCs w:val="24"/>
              </w:rPr>
            </w:pPr>
            <w:r>
              <w:rPr>
                <w:color w:val="000000"/>
                <w:sz w:val="22"/>
                <w:szCs w:val="22"/>
              </w:rPr>
              <w:t>8</w:t>
            </w:r>
            <w:r>
              <w:rPr>
                <w:color w:val="000000"/>
                <w:sz w:val="22"/>
                <w:szCs w:val="22"/>
                <w:vertAlign w:val="superscript"/>
              </w:rPr>
              <w:t>2</w:t>
            </w:r>
            <w:r>
              <w:rPr>
                <w:color w:val="000000"/>
                <w:sz w:val="22"/>
                <w:szCs w:val="22"/>
              </w:rPr>
              <w:t xml:space="preserve">. </w:t>
            </w:r>
            <w:r w:rsidR="00870A9D">
              <w:rPr>
                <w:sz w:val="22"/>
                <w:szCs w:val="22"/>
              </w:rPr>
              <w:t>Mano atstovaujamas pareiškėjas įsipareigoja vykdyti investicijų tęstinumo reikalavimus ta apimtimi, kokia nustatyta valstybės pagalbos taisyklėse ir PFSA (</w:t>
            </w:r>
            <w:r w:rsidR="00870A9D">
              <w:rPr>
                <w:i/>
                <w:iCs/>
                <w:sz w:val="22"/>
                <w:szCs w:val="22"/>
              </w:rPr>
              <w:t>taikoma, kai investuojama į gamybą (prekių ar paslaugų kūrimą) ir projektas finansuojamas iš EGADP lėšų</w:t>
            </w:r>
            <w:r>
              <w:rPr>
                <w:color w:val="000000"/>
                <w:sz w:val="22"/>
                <w:szCs w:val="22"/>
              </w:rPr>
              <w:t>).</w:t>
            </w:r>
          </w:p>
          <w:p w14:paraId="4FB1D587" w14:textId="77777777" w:rsidR="0022627F" w:rsidRDefault="00510F64">
            <w:pPr>
              <w:shd w:val="clear" w:color="auto" w:fill="FFFFFF"/>
              <w:ind w:firstLine="426"/>
              <w:jc w:val="both"/>
              <w:rPr>
                <w:sz w:val="22"/>
                <w:szCs w:val="22"/>
                <w:lang w:eastAsia="lt-LT"/>
              </w:rPr>
            </w:pPr>
            <w:r>
              <w:rPr>
                <w:sz w:val="22"/>
                <w:szCs w:val="22"/>
                <w:lang w:eastAsia="lt-LT"/>
              </w:rPr>
              <w:t xml:space="preserve">9. </w:t>
            </w:r>
            <w:r w:rsidR="006A4D98">
              <w:rPr>
                <w:sz w:val="22"/>
                <w:szCs w:val="22"/>
              </w:rPr>
              <w:t xml:space="preserve">Mano atstovaujamam </w:t>
            </w:r>
            <w:r w:rsidR="006A4D98">
              <w:rPr>
                <w:kern w:val="2"/>
                <w:sz w:val="22"/>
                <w:szCs w:val="22"/>
              </w:rPr>
              <w:t>pareiškėjui PĮP pateikimo dieną nėra taikomas apribojimas (iki 5 metų) neskirti Europos Sąjungos finansinės paramos dėl trečiųjų šalių piliečių nelegalaus įdarbinimo, kaip nustatyta Lietuvos Respublikos užimtumo įstatymo 56 straipsnio</w:t>
            </w:r>
            <w:r w:rsidR="006A4D98">
              <w:rPr>
                <w:sz w:val="22"/>
                <w:szCs w:val="22"/>
              </w:rPr>
              <w:t xml:space="preserve"> </w:t>
            </w:r>
            <w:r w:rsidR="006A4D98">
              <w:rPr>
                <w:kern w:val="2"/>
                <w:sz w:val="22"/>
                <w:szCs w:val="22"/>
              </w:rPr>
              <w:t>1 dalies 2 punkte ir 5 dalies 2 punkte (</w:t>
            </w:r>
            <w:r w:rsidR="006A4D98">
              <w:rPr>
                <w:i/>
                <w:iCs/>
                <w:kern w:val="2"/>
                <w:sz w:val="22"/>
                <w:szCs w:val="22"/>
              </w:rPr>
              <w:t>netaikoma viešiesiems juridiniams asmenims</w:t>
            </w:r>
            <w:r w:rsidR="00F40F95">
              <w:rPr>
                <w:sz w:val="22"/>
                <w:szCs w:val="22"/>
              </w:rPr>
              <w:t>).</w:t>
            </w:r>
          </w:p>
          <w:p w14:paraId="74596FBC" w14:textId="77777777" w:rsidR="0022627F" w:rsidRDefault="00510F64">
            <w:pPr>
              <w:ind w:firstLine="425"/>
              <w:jc w:val="both"/>
              <w:rPr>
                <w:sz w:val="22"/>
                <w:szCs w:val="22"/>
              </w:rPr>
            </w:pPr>
            <w:r>
              <w:rPr>
                <w:sz w:val="22"/>
                <w:szCs w:val="22"/>
                <w:lang w:eastAsia="lt-LT"/>
              </w:rPr>
              <w:lastRenderedPageBreak/>
              <w:t>10.</w:t>
            </w:r>
            <w:r w:rsidR="00E24DF4">
              <w:rPr>
                <w:sz w:val="22"/>
                <w:szCs w:val="22"/>
              </w:rPr>
              <w:t xml:space="preserve"> Mano atstovaujamam pareiškėjui, kuris yra juridinis asmuo, nėra iškelta byla dėl bankroto arba jis nėra likviduojamas, nėra priimtas kreditorių susirinkimo nutarimas bankroto procedūras vykdyti ne teismo tvarka </w:t>
            </w:r>
            <w:r w:rsidR="00E24DF4">
              <w:rPr>
                <w:i/>
                <w:sz w:val="22"/>
                <w:szCs w:val="22"/>
              </w:rPr>
              <w:t>(netaikoma biudžetinėms įstaigoms).</w:t>
            </w:r>
            <w:r w:rsidR="00E24DF4">
              <w:rPr>
                <w:sz w:val="22"/>
                <w:szCs w:val="22"/>
              </w:rPr>
              <w:t xml:space="preserve"> Mano atstovaujamam pareiškėjui, kuris yra juridinis asmuo, t. y. vadovui, naudos gavėjui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w:t>
            </w:r>
            <w:r>
              <w:rPr>
                <w:sz w:val="22"/>
                <w:szCs w:val="22"/>
              </w:rPr>
              <w:t>.</w:t>
            </w:r>
          </w:p>
          <w:p w14:paraId="26207B61" w14:textId="77777777" w:rsidR="0022627F" w:rsidRDefault="00510F64">
            <w:pPr>
              <w:shd w:val="clear" w:color="auto" w:fill="FFFFFF"/>
              <w:ind w:firstLine="425"/>
              <w:jc w:val="both"/>
              <w:rPr>
                <w:sz w:val="22"/>
                <w:szCs w:val="22"/>
                <w:lang w:eastAsia="lt-LT"/>
              </w:rPr>
            </w:pPr>
            <w:r>
              <w:rPr>
                <w:sz w:val="22"/>
                <w:szCs w:val="22"/>
                <w:lang w:eastAsia="lt-LT"/>
              </w:rPr>
              <w:t xml:space="preserve">11. </w:t>
            </w:r>
            <w:r w:rsidR="00F40F95">
              <w:rPr>
                <w:sz w:val="22"/>
                <w:szCs w:val="22"/>
                <w:lang w:eastAsia="lt-LT"/>
              </w:rPr>
              <w:t xml:space="preserve">Mano atstovaujamas pareiškėjas PĮP </w:t>
            </w:r>
            <w:r w:rsidR="00F40F95">
              <w:rPr>
                <w:sz w:val="22"/>
                <w:szCs w:val="22"/>
              </w:rPr>
              <w:t xml:space="preserve">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00F40F95">
              <w:rPr>
                <w:i/>
                <w:sz w:val="22"/>
                <w:szCs w:val="22"/>
              </w:rPr>
              <w:t>(taikoma tik tais atvejais, kai finansines ataskaitas būtina rengti pagal įstatymus, taikomus juridiniam asmeniui, užsienio juridiniam asmeniui ar kitai organizacijai arba jų filialui,</w:t>
            </w:r>
            <w:r w:rsidR="00F40F95">
              <w:rPr>
                <w:b/>
                <w:i/>
                <w:sz w:val="22"/>
                <w:szCs w:val="22"/>
              </w:rPr>
              <w:t xml:space="preserve"> </w:t>
            </w:r>
            <w:r w:rsidR="00F40F95">
              <w:rPr>
                <w:i/>
                <w:sz w:val="22"/>
                <w:szCs w:val="22"/>
              </w:rPr>
              <w:t>netaikoma biudžetinėms įstaigoms)</w:t>
            </w:r>
            <w:r w:rsidR="00F40F95">
              <w:rPr>
                <w:sz w:val="22"/>
                <w:szCs w:val="22"/>
              </w:rPr>
              <w:t>.</w:t>
            </w:r>
          </w:p>
          <w:p w14:paraId="472A0A49" w14:textId="77777777" w:rsidR="0022627F" w:rsidRDefault="00510F64">
            <w:pPr>
              <w:ind w:firstLine="425"/>
              <w:jc w:val="both"/>
              <w:rPr>
                <w:sz w:val="22"/>
                <w:szCs w:val="22"/>
                <w:lang w:eastAsia="lt-LT"/>
              </w:rPr>
            </w:pPr>
            <w:r>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32D96863" w14:textId="77777777" w:rsidR="0022627F" w:rsidRDefault="00510F64">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59867DF2" w14:textId="77777777" w:rsidR="0022627F" w:rsidRDefault="00510F64">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179AA0E8" w14:textId="77777777" w:rsidR="0022627F" w:rsidRDefault="00510F64">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221B9EA7" w14:textId="77777777" w:rsidR="0022627F" w:rsidRDefault="00510F64">
            <w:pPr>
              <w:keepNext/>
              <w:tabs>
                <w:tab w:val="left" w:pos="851"/>
              </w:tabs>
              <w:ind w:firstLine="425"/>
              <w:jc w:val="both"/>
              <w:rPr>
                <w:sz w:val="22"/>
                <w:szCs w:val="22"/>
                <w:lang w:eastAsia="lt-LT"/>
              </w:rPr>
            </w:pPr>
            <w:r>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18A23341" w14:textId="77777777" w:rsidR="0022627F" w:rsidRDefault="00510F64">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2194FC23" w14:textId="77777777" w:rsidR="0022627F" w:rsidRDefault="00510F64">
            <w:pPr>
              <w:ind w:firstLine="425"/>
              <w:jc w:val="both"/>
              <w:rPr>
                <w:sz w:val="22"/>
                <w:szCs w:val="22"/>
              </w:rPr>
            </w:pPr>
            <w:r>
              <w:rPr>
                <w:bCs/>
                <w:sz w:val="22"/>
                <w:szCs w:val="22"/>
                <w:lang w:eastAsia="lt-LT"/>
              </w:rPr>
              <w:t xml:space="preserve">18. </w:t>
            </w:r>
            <w:r w:rsidR="008C7B69">
              <w:rPr>
                <w:bCs/>
                <w:sz w:val="22"/>
                <w:szCs w:val="22"/>
                <w:lang w:eastAsia="lt-LT"/>
              </w:rPr>
              <w:t xml:space="preserve">Mano atstovaujamas pareiškėjas yra informuotas, </w:t>
            </w:r>
            <w:r w:rsidR="008C7B69">
              <w:rPr>
                <w:sz w:val="22"/>
                <w:szCs w:val="22"/>
              </w:rPr>
              <w:t>kad vadovaujantis BNR</w:t>
            </w:r>
            <w:r w:rsidR="008C7B69">
              <w:rPr>
                <w:b/>
                <w:sz w:val="22"/>
                <w:szCs w:val="22"/>
              </w:rPr>
              <w:t xml:space="preserve"> </w:t>
            </w:r>
            <w:r w:rsidR="008C7B69">
              <w:rPr>
                <w:sz w:val="22"/>
                <w:szCs w:val="22"/>
              </w:rPr>
              <w:t xml:space="preserve">reglamento 49 straipsnio 3 ir 5 dalimis ir prisidedant prie investicijų skaidrumo didinimo, </w:t>
            </w:r>
            <w:r w:rsidR="008C7B69">
              <w:rPr>
                <w:sz w:val="22"/>
                <w:szCs w:val="22"/>
                <w:lang w:eastAsia="lt-LT"/>
              </w:rPr>
              <w:t xml:space="preserve">sudarius projekto sutartį </w:t>
            </w:r>
            <w:r w:rsidR="008C7B69">
              <w:rPr>
                <w:color w:val="000000"/>
                <w:sz w:val="22"/>
                <w:szCs w:val="22"/>
              </w:rPr>
              <w:t>ar po paraiškos finansuoti JP projektą patvirtinimo dienos,</w:t>
            </w:r>
            <w:r w:rsidR="008C7B69">
              <w:rPr>
                <w:i/>
                <w:iCs/>
                <w:sz w:val="20"/>
              </w:rPr>
              <w:t xml:space="preserve"> </w:t>
            </w:r>
            <w:r w:rsidR="008C7B69">
              <w:rPr>
                <w:sz w:val="22"/>
                <w:szCs w:val="22"/>
                <w:lang w:eastAsia="lt-LT"/>
              </w:rPr>
              <w:t xml:space="preserve">svetainėje </w:t>
            </w:r>
            <w:r w:rsidR="008C7B69">
              <w:rPr>
                <w:i/>
                <w:sz w:val="22"/>
                <w:szCs w:val="22"/>
                <w:lang w:eastAsia="lt-LT"/>
              </w:rPr>
              <w:t xml:space="preserve">esinvesticijos.lt </w:t>
            </w:r>
            <w:r w:rsidR="008C7B69">
              <w:rPr>
                <w:color w:val="000000"/>
                <w:sz w:val="22"/>
                <w:szCs w:val="24"/>
              </w:rPr>
              <w:t>ir kitose su Europos Sąjungos investicijomis susijusiose interneto svetainėse bei komunikacijos, matomumo priemonėse</w:t>
            </w:r>
            <w:r w:rsidR="008C7B69">
              <w:rPr>
                <w:sz w:val="22"/>
                <w:szCs w:val="22"/>
                <w:lang w:eastAsia="lt-LT"/>
              </w:rPr>
              <w:t xml:space="preserve"> visuomenės informavimo tikslais bus paskelbti šie duomenys: projekto vykdytojo pavadinimas, </w:t>
            </w:r>
            <w:r w:rsidR="008C7B69">
              <w:rPr>
                <w:sz w:val="22"/>
                <w:szCs w:val="24"/>
              </w:rPr>
              <w:t>partnerio pavadinimas,</w:t>
            </w:r>
            <w:r w:rsidR="008C7B69">
              <w:rPr>
                <w:sz w:val="22"/>
                <w:szCs w:val="22"/>
                <w:lang w:eastAsia="lt-LT"/>
              </w:rPr>
              <w:t xml:space="preserve"> JP projekto vykdytojo pavadinimas (</w:t>
            </w:r>
            <w:r w:rsidR="008C7B69">
              <w:rPr>
                <w:sz w:val="22"/>
                <w:szCs w:val="22"/>
              </w:rPr>
              <w:t>fizinio asmens vardo ir pavardės viešinimo trukmė yra 2 metai),</w:t>
            </w:r>
            <w:r w:rsidR="008C7B69">
              <w:rPr>
                <w:sz w:val="22"/>
                <w:szCs w:val="22"/>
                <w:lang w:eastAsia="lt-LT"/>
              </w:rPr>
              <w:t xml:space="preserve"> </w:t>
            </w:r>
            <w:r w:rsidR="008C7B69">
              <w:rPr>
                <w:sz w:val="22"/>
                <w:szCs w:val="24"/>
              </w:rPr>
              <w:t xml:space="preserve">rangovo ir subrangovo, prekių tiekėjo ir subtiekėjo, paslaugų teikėjo ar subteikėjo pavadinimas (kai vykdomi viešieji pirkimai ar ne perkančiosios organizacijos pirkimai, </w:t>
            </w:r>
            <w:r w:rsidR="008C7B69">
              <w:rPr>
                <w:sz w:val="22"/>
                <w:szCs w:val="22"/>
                <w:lang w:eastAsia="lt-LT"/>
              </w:rPr>
              <w:t xml:space="preserve">projekto pavadinimas, projekto tikslas ir rezultatai, projekto pradžios ir pabaigos laikas, bendra projekto vertė, </w:t>
            </w:r>
            <w:r w:rsidR="008C7B69">
              <w:rPr>
                <w:sz w:val="22"/>
                <w:szCs w:val="22"/>
                <w:lang w:eastAsia="lt-LT"/>
              </w:rPr>
              <w:lastRenderedPageBreak/>
              <w:t xml:space="preserve">Europos Sąjungos lėšų šaltinio (fondo) pavadinimas ir jo finansavimo dydis, </w:t>
            </w:r>
            <w:r w:rsidR="008C7B69">
              <w:rPr>
                <w:sz w:val="22"/>
                <w:szCs w:val="24"/>
              </w:rPr>
              <w:t xml:space="preserve">su projektu susijusi intervencinės priemonės sritis </w:t>
            </w:r>
            <w:r w:rsidR="008C7B69">
              <w:rPr>
                <w:sz w:val="22"/>
                <w:szCs w:val="22"/>
                <w:shd w:val="clear" w:color="auto" w:fill="FFFFFF"/>
              </w:rPr>
              <w:t>pagal BNR reglamento 73 straipsnio 2 dalies g punktą</w:t>
            </w:r>
            <w:r w:rsidR="008C7B69">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008C7B69">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sidR="008C7B69">
              <w:rPr>
                <w:sz w:val="22"/>
                <w:szCs w:val="22"/>
                <w:lang w:eastAsia="lt-LT"/>
              </w:rPr>
              <w:t>Taip pat esu informuotas (-a)</w:t>
            </w:r>
            <w:r w:rsidR="008C7B69">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008C7B69">
              <w:rPr>
                <w:sz w:val="22"/>
                <w:szCs w:val="24"/>
                <w:shd w:val="clear" w:color="auto" w:fill="FFFFFF"/>
              </w:rPr>
              <w:t>ir EGADP finansinio susitarimo tarp Europos Komisijos ir Lietuvos Respublikos 10 straipsnio 6 punktą</w:t>
            </w:r>
            <w:r>
              <w:rPr>
                <w:sz w:val="22"/>
                <w:szCs w:val="24"/>
                <w:shd w:val="clear" w:color="auto" w:fill="FFFFFF"/>
              </w:rPr>
              <w:t xml:space="preserve">. </w:t>
            </w:r>
          </w:p>
          <w:p w14:paraId="6B99950B" w14:textId="77777777" w:rsidR="00C9490E" w:rsidRDefault="00510F64" w:rsidP="00C9490E">
            <w:pPr>
              <w:shd w:val="clear" w:color="auto" w:fill="FFFFFF"/>
              <w:tabs>
                <w:tab w:val="left" w:pos="360"/>
                <w:tab w:val="left" w:pos="709"/>
              </w:tabs>
              <w:spacing w:line="240" w:lineRule="atLeast"/>
              <w:ind w:firstLine="851"/>
              <w:jc w:val="both"/>
            </w:pPr>
            <w:r>
              <w:rPr>
                <w:sz w:val="22"/>
                <w:szCs w:val="22"/>
                <w:lang w:eastAsia="lt-LT"/>
              </w:rPr>
              <w:t>19.</w:t>
            </w:r>
            <w:r w:rsidR="00FB67FB">
              <w:rPr>
                <w:sz w:val="22"/>
                <w:szCs w:val="22"/>
                <w:lang w:eastAsia="lt-LT"/>
              </w:rPr>
              <w:t xml:space="preserve"> Mano atstovaujamam pareiškėjui yra žinoma, kad vadovaujantis BNR reglamento 70 straipsnio 3 dalimi, 71 straipsnio 3 dalimi, 74 straipsniu, Reglamento (ES, Euratomas) </w:t>
            </w:r>
            <w:r w:rsidR="00FB67FB">
              <w:rPr>
                <w:iCs/>
                <w:sz w:val="22"/>
                <w:szCs w:val="22"/>
                <w:lang w:eastAsia="lt-LT"/>
              </w:rPr>
              <w:t>2024/2509</w:t>
            </w:r>
            <w:r w:rsidR="00FB67FB">
              <w:rPr>
                <w:sz w:val="22"/>
                <w:szCs w:val="22"/>
                <w:lang w:eastAsia="lt-LT"/>
              </w:rPr>
              <w:t xml:space="preserve"> 129 straipsniu, </w:t>
            </w:r>
            <w:r w:rsidR="00FB67FB">
              <w:rPr>
                <w:iCs/>
                <w:sz w:val="22"/>
                <w:szCs w:val="22"/>
                <w:lang w:eastAsia="lt-LT"/>
              </w:rPr>
              <w:t>2021 m. vasario 12 d. Europos Parlamento ir Tarybos reglamento (ES) 2021/241, kuriuo nustatoma ekonomikos gaivinimo ir atsparumo didinimo priemonė,</w:t>
            </w:r>
            <w:r w:rsidR="00FB67FB">
              <w:rPr>
                <w:sz w:val="22"/>
                <w:szCs w:val="22"/>
                <w:lang w:eastAsia="lt-LT"/>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w:t>
            </w:r>
            <w:r w:rsidR="00B40041">
              <w:rPr>
                <w:sz w:val="22"/>
                <w:szCs w:val="22"/>
                <w:lang w:eastAsia="lt-LT"/>
              </w:rPr>
              <w:t xml:space="preserve"> </w:t>
            </w:r>
            <w:r w:rsidR="00FB67FB">
              <w:t xml:space="preserve">     </w:t>
            </w:r>
          </w:p>
          <w:p w14:paraId="7DF7A806" w14:textId="77777777" w:rsidR="0022627F" w:rsidRDefault="00510F64">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Funkcijų paskirstymo taisyklių 6.2, 6.15 ir 6.16 papunkčiais, Funkcijų sąrašo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20F5F713" w14:textId="77777777" w:rsidR="0022627F" w:rsidRDefault="00510F64">
            <w:pPr>
              <w:keepNext/>
              <w:keepLines/>
              <w:ind w:firstLine="426"/>
              <w:jc w:val="both"/>
              <w:outlineLvl w:val="1"/>
              <w:rPr>
                <w:rFonts w:eastAsia="Calibri"/>
                <w:sz w:val="22"/>
                <w:szCs w:val="22"/>
              </w:rPr>
            </w:pPr>
            <w:r>
              <w:rPr>
                <w:sz w:val="22"/>
                <w:szCs w:val="22"/>
              </w:rPr>
              <w:lastRenderedPageBreak/>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Funkcijų paskirstymo taisyklių 4.8, 6.2 ir 6.16 papunkčiais, Aprašo 3.16, 3.20 ir 4.6 papunkčiais, Funkcijų sąrašo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17146859" w14:textId="77777777" w:rsidR="0022627F" w:rsidRDefault="00510F64">
            <w:pPr>
              <w:ind w:firstLine="425"/>
              <w:jc w:val="both"/>
              <w:rPr>
                <w:sz w:val="22"/>
                <w:szCs w:val="22"/>
              </w:rPr>
            </w:pPr>
            <w:r>
              <w:rPr>
                <w:sz w:val="22"/>
                <w:szCs w:val="22"/>
              </w:rPr>
              <w:t xml:space="preserve">22. </w:t>
            </w:r>
            <w:r w:rsidR="00B0208A" w:rsidRPr="00B0208A">
              <w:rPr>
                <w:sz w:val="22"/>
                <w:szCs w:val="22"/>
              </w:rPr>
              <w:t>Esu informuotas (-a), kad mano asmens duomenis, nurodytus mano atstovaujamo pareiškėjo PĮP ir kituose administruojančiajai institucijai pateiktuose dokumentuose, Europos Komisija, vadovaujančioji, administruojančioji, audito institucijos tvarkys stebėsenos, ataskaitų teikimo, komunikacijos, skelbimo, vertinimo, finansų valdymo, patikrinimų ir audito, taip pat, kai taikytina, dalyvių atitikties nustatymo vykdymo tikslais (</w:t>
            </w:r>
            <w:r w:rsidR="00B0208A" w:rsidRPr="00B0208A">
              <w:rPr>
                <w:i/>
                <w:iCs/>
                <w:sz w:val="22"/>
                <w:szCs w:val="22"/>
              </w:rPr>
              <w:t xml:space="preserve">teisinis pagrindas – BNR reglamento 4 straipsnis, </w:t>
            </w:r>
            <w:r w:rsidR="00B0208A" w:rsidRPr="00B0208A">
              <w:rPr>
                <w:bCs/>
                <w:i/>
                <w:iCs/>
                <w:sz w:val="22"/>
                <w:szCs w:val="22"/>
              </w:rPr>
              <w:t>69 straipsnio 2 dalis</w:t>
            </w:r>
            <w:r w:rsidR="00B0208A" w:rsidRPr="00B0208A">
              <w:rPr>
                <w:i/>
                <w:iCs/>
                <w:sz w:val="22"/>
                <w:szCs w:val="22"/>
              </w:rPr>
              <w:t>, 71 straipsnio 1 ir 3 dalys, 72 straipsnio 1 dalies e punktas, Funkcijų sąrašo 4.20, 5.14 papunkčiai ir 6 punktas</w:t>
            </w:r>
            <w:r w:rsidR="00B0208A" w:rsidRPr="00B0208A">
              <w:rPr>
                <w:sz w:val="22"/>
                <w:szCs w:val="22"/>
              </w:rPr>
              <w:t>) ir (arba) lėšų naudojimo, susijusio su Ekonomikos gaivinimo ir atsparumo didinimo plane „Naujos kartos Lietuva“ numatytomis reformų ir investicinių projektų įgyvendinimo priemonėmis, įvykdymo, audito ir kontrolės tikslais (</w:t>
            </w:r>
            <w:r w:rsidR="00B0208A" w:rsidRPr="00B0208A">
              <w:rPr>
                <w:i/>
                <w:iCs/>
                <w:sz w:val="22"/>
                <w:szCs w:val="22"/>
              </w:rPr>
              <w:t>teisinis pagrindas – EGADP reglamento 22 straipsnio 2 dalies d punktas ir 3 dalis, Funkcijų paskirstymo taisyklių 6.2 papunktis</w:t>
            </w:r>
            <w:r w:rsidR="00B0208A" w:rsidRPr="00B0208A">
              <w:rPr>
                <w:sz w:val="22"/>
                <w:szCs w:val="22"/>
              </w:rPr>
              <w:t>). Asmens duomenys bus tvarkomi vadovaujantis 2016 m. balandžio 27 d. Europos Parlamento ir Tarybos reglamentu (ES) 2016/679 dėl fizinių asmenų apsaugos tvarkant asmens duomenis ir dėl laisvo tokių duomenų judėjimo ir kuriuo panaikinama Direktyva 95/46/EB (Bendrasis duomenų apsaugos reglamentas) 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04F3ED03" w14:textId="77777777" w:rsidR="0022627F" w:rsidRDefault="00510F64">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1CD834EE" w14:textId="77777777" w:rsidR="0022627F" w:rsidRDefault="00510F64">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2D7341B7" w14:textId="77777777" w:rsidR="0022627F" w:rsidRDefault="00510F64">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39ACC63F" w14:textId="77777777" w:rsidR="0022627F" w:rsidRDefault="00510F64">
            <w:pPr>
              <w:ind w:firstLine="425"/>
              <w:jc w:val="both"/>
              <w:rPr>
                <w:sz w:val="22"/>
                <w:szCs w:val="22"/>
              </w:rPr>
            </w:pPr>
            <w:r>
              <w:rPr>
                <w:sz w:val="22"/>
                <w:szCs w:val="22"/>
              </w:rPr>
              <w:t xml:space="preserve">26. Esu informuotas (-a), kad rinkdamas (-a), tvarkydamas (-a) projekto partnerio (-ių), projekto dalyvių, jungtinio projekto projekto pareiškėjo (-ų) ir jungtinio projekto projekto vykdytojo (-ų) asmens duomenis turiu užtikrinti </w:t>
            </w:r>
            <w:r>
              <w:rPr>
                <w:sz w:val="22"/>
                <w:szCs w:val="22"/>
                <w:shd w:val="clear" w:color="auto" w:fill="FFFFFF"/>
              </w:rPr>
              <w:t xml:space="preserve">Reglamente (ES) 2016/679 </w:t>
            </w:r>
            <w:r>
              <w:rPr>
                <w:sz w:val="22"/>
                <w:szCs w:val="22"/>
              </w:rPr>
              <w:t xml:space="preserve">nustatytų reikalavimų vykdymą.  </w:t>
            </w:r>
          </w:p>
          <w:p w14:paraId="343E44A4" w14:textId="77777777" w:rsidR="0022627F" w:rsidRDefault="00510F64">
            <w:pPr>
              <w:ind w:firstLine="425"/>
              <w:jc w:val="both"/>
              <w:rPr>
                <w:bCs/>
                <w:sz w:val="22"/>
                <w:szCs w:val="22"/>
              </w:rPr>
            </w:pPr>
            <w:r>
              <w:rPr>
                <w:bCs/>
                <w:sz w:val="22"/>
                <w:szCs w:val="22"/>
              </w:rPr>
              <w:t>27. Mano atstovaujamo pareiškėjo planuojamų įgyvendinti projekto veiklų išlaidos nefinansuojamos pagal kitus pareiškėjo įgyvendintus ir (arba) įgyvendinamus projektus.</w:t>
            </w:r>
          </w:p>
          <w:p w14:paraId="53DC14AE" w14:textId="77777777" w:rsidR="0022627F" w:rsidRDefault="00510F64">
            <w:pPr>
              <w:tabs>
                <w:tab w:val="left" w:pos="284"/>
                <w:tab w:val="left" w:pos="426"/>
              </w:tabs>
              <w:ind w:firstLine="460"/>
              <w:jc w:val="both"/>
              <w:rPr>
                <w:color w:val="000000"/>
                <w:sz w:val="22"/>
                <w:szCs w:val="22"/>
                <w:lang w:eastAsia="lt-LT"/>
              </w:rPr>
            </w:pPr>
            <w:r>
              <w:rPr>
                <w:bCs/>
                <w:color w:val="000000"/>
                <w:sz w:val="22"/>
                <w:szCs w:val="22"/>
                <w:lang w:eastAsia="lt-LT"/>
              </w:rPr>
              <w:t>28. Mano atstovaujamas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w:t>
            </w:r>
            <w:r>
              <w:rPr>
                <w:sz w:val="22"/>
                <w:szCs w:val="22"/>
              </w:rPr>
              <w:t>įvertindamas pateiktą (-as) deklaraciją (-as) ar kitu būdu</w:t>
            </w:r>
            <w:r>
              <w:rPr>
                <w:color w:val="000000"/>
                <w:sz w:val="22"/>
                <w:szCs w:val="22"/>
                <w:vertAlign w:val="superscript"/>
                <w:lang w:eastAsia="lt-LT"/>
              </w:rPr>
              <w:t xml:space="preserve"> </w:t>
            </w:r>
            <w:r>
              <w:rPr>
                <w:color w:val="000000"/>
                <w:sz w:val="22"/>
                <w:szCs w:val="22"/>
                <w:lang w:eastAsia="lt-LT"/>
              </w:rPr>
              <w:t xml:space="preserve">), kad: </w:t>
            </w:r>
          </w:p>
          <w:p w14:paraId="3D122D87" w14:textId="77777777" w:rsidR="0022627F" w:rsidRDefault="00510F64">
            <w:pPr>
              <w:ind w:firstLine="460"/>
              <w:jc w:val="both"/>
              <w:rPr>
                <w:color w:val="000000"/>
                <w:sz w:val="22"/>
                <w:szCs w:val="22"/>
                <w:lang w:eastAsia="lt-LT"/>
              </w:rPr>
            </w:pPr>
            <w:r>
              <w:rPr>
                <w:color w:val="000000"/>
                <w:sz w:val="22"/>
                <w:szCs w:val="22"/>
                <w:lang w:eastAsia="lt-LT"/>
              </w:rPr>
              <w:t>28.1.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w:t>
            </w:r>
          </w:p>
          <w:p w14:paraId="7D697778" w14:textId="77777777" w:rsidR="0022627F" w:rsidRDefault="00510F64">
            <w:pPr>
              <w:ind w:left="34" w:firstLine="426"/>
              <w:jc w:val="both"/>
              <w:rPr>
                <w:color w:val="000000"/>
                <w:sz w:val="22"/>
                <w:szCs w:val="22"/>
                <w:lang w:eastAsia="lt-LT"/>
              </w:rPr>
            </w:pPr>
            <w:r>
              <w:rPr>
                <w:color w:val="000000"/>
                <w:sz w:val="22"/>
                <w:szCs w:val="22"/>
                <w:lang w:eastAsia="lt-LT"/>
              </w:rPr>
              <w:t>28.2.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52193838" w14:textId="77777777" w:rsidR="0022627F" w:rsidRDefault="00510F64">
            <w:pPr>
              <w:ind w:firstLine="460"/>
              <w:jc w:val="both"/>
              <w:rPr>
                <w:color w:val="000000"/>
                <w:sz w:val="22"/>
                <w:szCs w:val="22"/>
                <w:lang w:eastAsia="lt-LT"/>
              </w:rPr>
            </w:pPr>
            <w:r>
              <w:rPr>
                <w:bCs/>
                <w:color w:val="000000"/>
                <w:sz w:val="22"/>
                <w:szCs w:val="22"/>
              </w:rPr>
              <w:lastRenderedPageBreak/>
              <w:t xml:space="preserve">29. Mano atstovaujamas pareiškėjas įsipareigoja, pasikeitus deklaruojamoms aplinkybėms, nedelsdamas (-a) apie tai informuoti </w:t>
            </w:r>
            <w:r>
              <w:rPr>
                <w:color w:val="000000"/>
                <w:sz w:val="22"/>
                <w:szCs w:val="22"/>
              </w:rPr>
              <w:t>administruojančiąją instituciją.</w:t>
            </w:r>
          </w:p>
          <w:p w14:paraId="2C8E9F7A" w14:textId="77777777" w:rsidR="0022627F" w:rsidRDefault="0022627F">
            <w:pPr>
              <w:rPr>
                <w:sz w:val="22"/>
                <w:szCs w:val="22"/>
              </w:rPr>
            </w:pPr>
          </w:p>
        </w:tc>
      </w:tr>
    </w:tbl>
    <w:p w14:paraId="5A7505C5" w14:textId="7544E009" w:rsidR="0022627F" w:rsidRDefault="0022627F">
      <w:pPr>
        <w:tabs>
          <w:tab w:val="left" w:pos="3544"/>
        </w:tabs>
        <w:spacing w:line="259" w:lineRule="auto"/>
        <w:rPr>
          <w:sz w:val="22"/>
          <w:szCs w:val="22"/>
          <w:lang w:eastAsia="lt-LT"/>
        </w:rPr>
      </w:pPr>
    </w:p>
    <w:p w14:paraId="6E53A29E" w14:textId="1992703A" w:rsidR="00C06875" w:rsidRDefault="00C06875">
      <w:pPr>
        <w:tabs>
          <w:tab w:val="left" w:pos="3544"/>
        </w:tabs>
        <w:spacing w:line="259" w:lineRule="auto"/>
        <w:rPr>
          <w:sz w:val="22"/>
          <w:szCs w:val="22"/>
          <w:lang w:eastAsia="lt-LT"/>
        </w:rPr>
      </w:pPr>
    </w:p>
    <w:p w14:paraId="21E8190B" w14:textId="77777777" w:rsidR="00C06875" w:rsidRDefault="00C06875">
      <w:pPr>
        <w:tabs>
          <w:tab w:val="left" w:pos="3544"/>
        </w:tabs>
        <w:spacing w:line="259" w:lineRule="auto"/>
        <w:rPr>
          <w:sz w:val="22"/>
          <w:szCs w:val="22"/>
          <w:lang w:eastAsia="lt-LT"/>
        </w:rPr>
      </w:pPr>
      <w:bookmarkStart w:id="0" w:name="_GoBack"/>
      <w:bookmarkEnd w:id="0"/>
    </w:p>
    <w:p w14:paraId="05FB11E9" w14:textId="5BA5DD60" w:rsidR="00397BF9" w:rsidRPr="00C06875" w:rsidRDefault="00C06875">
      <w:pPr>
        <w:tabs>
          <w:tab w:val="left" w:pos="3544"/>
        </w:tabs>
        <w:spacing w:line="259" w:lineRule="auto"/>
        <w:rPr>
          <w:sz w:val="22"/>
          <w:szCs w:val="22"/>
          <w:u w:val="single"/>
          <w:lang w:eastAsia="lt-LT"/>
        </w:rPr>
      </w:pPr>
      <w:r>
        <w:rPr>
          <w:sz w:val="22"/>
          <w:szCs w:val="22"/>
          <w:u w:val="single"/>
          <w:lang w:eastAsia="lt-LT"/>
        </w:rPr>
        <w:tab/>
      </w:r>
      <w:r>
        <w:rPr>
          <w:sz w:val="22"/>
          <w:szCs w:val="22"/>
          <w:lang w:eastAsia="lt-LT"/>
        </w:rPr>
        <w:tab/>
      </w:r>
      <w:r>
        <w:rPr>
          <w:sz w:val="22"/>
          <w:szCs w:val="22"/>
          <w:u w:val="single"/>
          <w:lang w:eastAsia="lt-LT"/>
        </w:rPr>
        <w:tab/>
      </w:r>
      <w:r>
        <w:rPr>
          <w:sz w:val="22"/>
          <w:szCs w:val="22"/>
          <w:u w:val="single"/>
          <w:lang w:eastAsia="lt-LT"/>
        </w:rPr>
        <w:tab/>
      </w:r>
      <w:r>
        <w:rPr>
          <w:sz w:val="22"/>
          <w:szCs w:val="22"/>
          <w:lang w:eastAsia="lt-LT"/>
        </w:rPr>
        <w:tab/>
      </w:r>
      <w:r>
        <w:rPr>
          <w:sz w:val="22"/>
          <w:szCs w:val="22"/>
          <w:u w:val="single"/>
          <w:lang w:eastAsia="lt-LT"/>
        </w:rPr>
        <w:tab/>
      </w:r>
      <w:r>
        <w:rPr>
          <w:sz w:val="22"/>
          <w:szCs w:val="22"/>
          <w:u w:val="single"/>
          <w:lang w:eastAsia="lt-LT"/>
        </w:rPr>
        <w:tab/>
      </w:r>
      <w:r>
        <w:rPr>
          <w:sz w:val="22"/>
          <w:szCs w:val="22"/>
          <w:u w:val="single"/>
          <w:lang w:eastAsia="lt-LT"/>
        </w:rPr>
        <w:tab/>
      </w:r>
    </w:p>
    <w:p w14:paraId="3AE431A4" w14:textId="44AE7ED7" w:rsidR="00397BF9" w:rsidRDefault="00C06875">
      <w:pPr>
        <w:tabs>
          <w:tab w:val="left" w:pos="3544"/>
        </w:tabs>
        <w:spacing w:line="259" w:lineRule="auto"/>
        <w:rPr>
          <w:sz w:val="22"/>
          <w:szCs w:val="22"/>
          <w:lang w:eastAsia="lt-LT"/>
        </w:rPr>
      </w:pPr>
      <w:r>
        <w:rPr>
          <w:sz w:val="22"/>
          <w:szCs w:val="22"/>
          <w:lang w:eastAsia="lt-LT"/>
        </w:rPr>
        <w:t>Pareigos</w:t>
      </w:r>
      <w:r>
        <w:rPr>
          <w:sz w:val="22"/>
          <w:szCs w:val="22"/>
          <w:lang w:eastAsia="lt-LT"/>
        </w:rPr>
        <w:tab/>
      </w:r>
      <w:r>
        <w:rPr>
          <w:sz w:val="22"/>
          <w:szCs w:val="22"/>
          <w:lang w:eastAsia="lt-LT"/>
        </w:rPr>
        <w:tab/>
        <w:t xml:space="preserve">            parašas</w:t>
      </w:r>
      <w:r>
        <w:rPr>
          <w:sz w:val="22"/>
          <w:szCs w:val="22"/>
          <w:lang w:eastAsia="lt-LT"/>
        </w:rPr>
        <w:tab/>
      </w:r>
      <w:r>
        <w:rPr>
          <w:sz w:val="22"/>
          <w:szCs w:val="22"/>
          <w:lang w:eastAsia="lt-LT"/>
        </w:rPr>
        <w:tab/>
        <w:t xml:space="preserve">                  Vardas pavardė</w:t>
      </w:r>
      <w:r w:rsidR="00397BF9" w:rsidRPr="00397BF9">
        <w:rPr>
          <w:sz w:val="22"/>
          <w:szCs w:val="22"/>
          <w:lang w:eastAsia="lt-LT"/>
        </w:rPr>
        <w:tab/>
      </w:r>
      <w:r w:rsidR="00397BF9">
        <w:rPr>
          <w:sz w:val="22"/>
          <w:szCs w:val="22"/>
          <w:lang w:eastAsia="lt-LT"/>
        </w:rPr>
        <w:tab/>
      </w:r>
      <w:r w:rsidR="00397BF9">
        <w:rPr>
          <w:sz w:val="22"/>
          <w:szCs w:val="22"/>
          <w:lang w:eastAsia="lt-LT"/>
        </w:rPr>
        <w:tab/>
        <w:t xml:space="preserve">    </w:t>
      </w:r>
    </w:p>
    <w:p w14:paraId="10F8CEA8" w14:textId="341CCBCA" w:rsidR="00397BF9" w:rsidRDefault="00397BF9">
      <w:pPr>
        <w:tabs>
          <w:tab w:val="left" w:pos="3544"/>
        </w:tabs>
        <w:spacing w:line="259" w:lineRule="auto"/>
        <w:rPr>
          <w:sz w:val="22"/>
          <w:szCs w:val="22"/>
          <w:lang w:eastAsia="lt-LT"/>
        </w:rPr>
      </w:pPr>
    </w:p>
    <w:p w14:paraId="4FC2C62B" w14:textId="77777777" w:rsidR="00397BF9" w:rsidRDefault="00397BF9">
      <w:pPr>
        <w:tabs>
          <w:tab w:val="left" w:pos="3544"/>
        </w:tabs>
        <w:spacing w:line="259" w:lineRule="auto"/>
        <w:rPr>
          <w:sz w:val="22"/>
          <w:szCs w:val="22"/>
          <w:lang w:eastAsia="lt-LT"/>
        </w:rPr>
      </w:pPr>
    </w:p>
    <w:p w14:paraId="21460B35" w14:textId="77777777" w:rsidR="0022627F" w:rsidRDefault="00510F64">
      <w:pPr>
        <w:jc w:val="center"/>
        <w:rPr>
          <w:szCs w:val="24"/>
        </w:rPr>
      </w:pPr>
      <w:r>
        <w:rPr>
          <w:szCs w:val="24"/>
        </w:rPr>
        <w:t>__________________________</w:t>
      </w:r>
    </w:p>
    <w:sectPr w:rsidR="0022627F">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5ABA9" w14:textId="77777777" w:rsidR="006D21C7" w:rsidRDefault="006D21C7">
      <w:pPr>
        <w:rPr>
          <w:sz w:val="22"/>
          <w:szCs w:val="22"/>
        </w:rPr>
      </w:pPr>
      <w:r>
        <w:rPr>
          <w:sz w:val="22"/>
          <w:szCs w:val="22"/>
        </w:rPr>
        <w:separator/>
      </w:r>
    </w:p>
  </w:endnote>
  <w:endnote w:type="continuationSeparator" w:id="0">
    <w:p w14:paraId="411098FE" w14:textId="77777777" w:rsidR="006D21C7" w:rsidRDefault="006D21C7">
      <w:pPr>
        <w:rPr>
          <w:sz w:val="22"/>
          <w:szCs w:val="22"/>
        </w:rPr>
      </w:pPr>
      <w:r>
        <w:rPr>
          <w:sz w:val="22"/>
          <w:szCs w:val="22"/>
        </w:rPr>
        <w:continuationSeparator/>
      </w:r>
    </w:p>
  </w:endnote>
  <w:endnote w:type="continuationNotice" w:id="1">
    <w:p w14:paraId="48665166" w14:textId="77777777" w:rsidR="006D21C7" w:rsidRDefault="006D21C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9848" w14:textId="77777777" w:rsidR="006D21C7" w:rsidRDefault="006D21C7">
      <w:pPr>
        <w:rPr>
          <w:sz w:val="22"/>
          <w:szCs w:val="22"/>
        </w:rPr>
      </w:pPr>
      <w:r>
        <w:rPr>
          <w:sz w:val="22"/>
          <w:szCs w:val="22"/>
        </w:rPr>
        <w:separator/>
      </w:r>
    </w:p>
  </w:footnote>
  <w:footnote w:type="continuationSeparator" w:id="0">
    <w:p w14:paraId="672B698F" w14:textId="77777777" w:rsidR="006D21C7" w:rsidRDefault="006D21C7">
      <w:pPr>
        <w:rPr>
          <w:sz w:val="22"/>
          <w:szCs w:val="22"/>
        </w:rPr>
      </w:pPr>
      <w:r>
        <w:rPr>
          <w:sz w:val="22"/>
          <w:szCs w:val="22"/>
        </w:rPr>
        <w:continuationSeparator/>
      </w:r>
    </w:p>
  </w:footnote>
  <w:footnote w:type="continuationNotice" w:id="1">
    <w:p w14:paraId="73897E9E" w14:textId="77777777" w:rsidR="006D21C7" w:rsidRDefault="006D21C7">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1D6805"/>
    <w:rsid w:val="0022627F"/>
    <w:rsid w:val="00231862"/>
    <w:rsid w:val="00271A19"/>
    <w:rsid w:val="00397BF9"/>
    <w:rsid w:val="003A1720"/>
    <w:rsid w:val="003F4876"/>
    <w:rsid w:val="00443D0E"/>
    <w:rsid w:val="004F6B22"/>
    <w:rsid w:val="00510F64"/>
    <w:rsid w:val="00511A3B"/>
    <w:rsid w:val="005F6E2B"/>
    <w:rsid w:val="0060792D"/>
    <w:rsid w:val="006A44D5"/>
    <w:rsid w:val="006A4D98"/>
    <w:rsid w:val="006D21C7"/>
    <w:rsid w:val="00701FED"/>
    <w:rsid w:val="007A5090"/>
    <w:rsid w:val="00822FB7"/>
    <w:rsid w:val="00866653"/>
    <w:rsid w:val="00870A9D"/>
    <w:rsid w:val="008C7B69"/>
    <w:rsid w:val="008E71A8"/>
    <w:rsid w:val="00912EFA"/>
    <w:rsid w:val="00964730"/>
    <w:rsid w:val="00973F59"/>
    <w:rsid w:val="00B0208A"/>
    <w:rsid w:val="00B3581A"/>
    <w:rsid w:val="00B40041"/>
    <w:rsid w:val="00BA2F5A"/>
    <w:rsid w:val="00BD3E36"/>
    <w:rsid w:val="00C06875"/>
    <w:rsid w:val="00C36A4B"/>
    <w:rsid w:val="00C50440"/>
    <w:rsid w:val="00C9490E"/>
    <w:rsid w:val="00D92C23"/>
    <w:rsid w:val="00DD3100"/>
    <w:rsid w:val="00DF0621"/>
    <w:rsid w:val="00E24DF4"/>
    <w:rsid w:val="00E51C6D"/>
    <w:rsid w:val="00F40F95"/>
    <w:rsid w:val="00FB67FB"/>
    <w:rsid w:val="00FD5FAF"/>
    <w:rsid w:val="00FE2C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AAE3"/>
  <w15:docId w15:val="{E631B4E5-4CA1-4EBA-9E59-37E2848B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LIT/TXT/?uri=CELEX:32014R0651&amp;locale=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legal-content/LIT/TXT/?uri=CELEX:32014R0651&amp;local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14R0651&amp;locale=lt" TargetMode="Externa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10" Type="http://schemas.openxmlformats.org/officeDocument/2006/relationships/hyperlink" Target="http://eur-lex.europa.eu/legal-content/LIT/TXT/?uri=CELEX:32024R2509&amp;local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57FDDC8B-960A-4945-A149-63D43B06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16601</Words>
  <Characters>9464</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26013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Gražina Baužienė</cp:lastModifiedBy>
  <cp:revision>17</cp:revision>
  <cp:lastPrinted>2023-03-16T12:20:00Z</cp:lastPrinted>
  <dcterms:created xsi:type="dcterms:W3CDTF">2025-05-02T12:21:00Z</dcterms:created>
  <dcterms:modified xsi:type="dcterms:W3CDTF">2026-02-24T04:17:00Z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