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7E3ED5">
        <w:rPr>
          <w:b/>
        </w:rPr>
        <w:t>6810-0007-0</w:t>
      </w:r>
      <w:r w:rsidR="002C1946">
        <w:rPr>
          <w:b/>
        </w:rPr>
        <w:t>139</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7E3ED5" w:rsidRPr="001033D1">
        <w:t>6810-0007-0</w:t>
      </w:r>
      <w:r w:rsidR="002C1946">
        <w:t>139</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7E3ED5" w:rsidRPr="001033D1">
        <w:t>6810-0007-0</w:t>
      </w:r>
      <w:r w:rsidR="002C1946">
        <w:t>139</w:t>
      </w:r>
      <w:r w:rsidR="00713437" w:rsidRPr="001033D1">
        <w:t xml:space="preserve">, </w:t>
      </w:r>
      <w:r w:rsidR="00926D1C" w:rsidRPr="001033D1">
        <w:t>plotas</w:t>
      </w:r>
      <w:r w:rsidR="00D14D0F" w:rsidRPr="001033D1">
        <w:t xml:space="preserve"> </w:t>
      </w:r>
      <w:r w:rsidR="002C1946">
        <w:t>1,47</w:t>
      </w:r>
      <w:r w:rsidR="00A96BFF">
        <w:t>00</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2C1946">
        <w:rPr>
          <w:lang w:eastAsia="ar-SA"/>
        </w:rPr>
        <w:t>72</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A96BFF">
        <w:t>1</w:t>
      </w:r>
      <w:r w:rsidR="002C1946">
        <w:t>8</w:t>
      </w:r>
      <w:r w:rsidR="00EF269D" w:rsidRPr="001033D1">
        <w:t xml:space="preserve"> eur</w:t>
      </w:r>
      <w:r w:rsidR="00A96BFF">
        <w:t>ų</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7E3ED5">
        <w:t>6810-0007-0</w:t>
      </w:r>
      <w:r w:rsidR="002C1946">
        <w:t>139</w:t>
      </w:r>
      <w:r w:rsidR="00E72967" w:rsidRPr="00FA51A2">
        <w:t xml:space="preserve">, PLOTAS </w:t>
      </w:r>
      <w:r w:rsidR="002C1946">
        <w:t>1,47</w:t>
      </w:r>
      <w:r w:rsidR="00A96BFF">
        <w:t>00</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703FE1">
        <w:t>9</w:t>
      </w:r>
      <w:r w:rsidR="009E6D85" w:rsidRPr="00242D84">
        <w:t xml:space="preserve"> val</w:t>
      </w:r>
      <w:r w:rsidR="00C0565B">
        <w:t>.</w:t>
      </w:r>
      <w:r w:rsidR="00D14D0F">
        <w:t xml:space="preserve"> </w:t>
      </w:r>
      <w:r w:rsidR="002C1946">
        <w:t>3</w:t>
      </w:r>
      <w:bookmarkStart w:id="0" w:name="_GoBack"/>
      <w:bookmarkEnd w:id="0"/>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1946"/>
    <w:rsid w:val="002C6441"/>
    <w:rsid w:val="002F1039"/>
    <w:rsid w:val="003305D5"/>
    <w:rsid w:val="00352AAE"/>
    <w:rsid w:val="0036133C"/>
    <w:rsid w:val="003A524C"/>
    <w:rsid w:val="003C6DFF"/>
    <w:rsid w:val="003D74A0"/>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408F0"/>
    <w:rsid w:val="00A5182C"/>
    <w:rsid w:val="00A73CB1"/>
    <w:rsid w:val="00A7694F"/>
    <w:rsid w:val="00A9106E"/>
    <w:rsid w:val="00A96BFF"/>
    <w:rsid w:val="00AA73EA"/>
    <w:rsid w:val="00AB416E"/>
    <w:rsid w:val="00AC4836"/>
    <w:rsid w:val="00AC6A9D"/>
    <w:rsid w:val="00B01D89"/>
    <w:rsid w:val="00B21A96"/>
    <w:rsid w:val="00B22292"/>
    <w:rsid w:val="00B26189"/>
    <w:rsid w:val="00B41C1A"/>
    <w:rsid w:val="00B52F21"/>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40F3B"/>
    <w:rsid w:val="00C47206"/>
    <w:rsid w:val="00C65C72"/>
    <w:rsid w:val="00C66F5E"/>
    <w:rsid w:val="00C77D62"/>
    <w:rsid w:val="00C914CF"/>
    <w:rsid w:val="00C95976"/>
    <w:rsid w:val="00CA2F2A"/>
    <w:rsid w:val="00CA3A76"/>
    <w:rsid w:val="00CB34A5"/>
    <w:rsid w:val="00CD6C05"/>
    <w:rsid w:val="00CF395E"/>
    <w:rsid w:val="00D14D0F"/>
    <w:rsid w:val="00D34560"/>
    <w:rsid w:val="00D37B3E"/>
    <w:rsid w:val="00D62A7C"/>
    <w:rsid w:val="00D6531F"/>
    <w:rsid w:val="00DC2936"/>
    <w:rsid w:val="00DC4A1A"/>
    <w:rsid w:val="00DF0394"/>
    <w:rsid w:val="00E27939"/>
    <w:rsid w:val="00E47002"/>
    <w:rsid w:val="00E55A04"/>
    <w:rsid w:val="00E658F0"/>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693D4"/>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93AE-C75A-48A6-8769-CFE71E2E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5483</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8592</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3</cp:revision>
  <cp:lastPrinted>2017-04-04T07:13:00Z</cp:lastPrinted>
  <dcterms:created xsi:type="dcterms:W3CDTF">2025-05-06T11:35:00Z</dcterms:created>
  <dcterms:modified xsi:type="dcterms:W3CDTF">2025-05-06T12:16:00Z</dcterms:modified>
</cp:coreProperties>
</file>