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E73" w:rsidRPr="00CE4241" w:rsidRDefault="00A14E73" w:rsidP="00A14E73">
      <w:pPr>
        <w:ind w:firstLine="0"/>
        <w:rPr>
          <w:b/>
          <w:bCs/>
          <w:color w:val="00204F"/>
          <w:sz w:val="28"/>
          <w:szCs w:val="28"/>
        </w:rPr>
      </w:pPr>
      <w:r w:rsidRPr="00CE4241">
        <w:rPr>
          <w:b/>
          <w:bCs/>
          <w:color w:val="00204F"/>
          <w:sz w:val="28"/>
          <w:szCs w:val="28"/>
        </w:rPr>
        <w:t>Rekomendacijų įgyvendinimo planas</w:t>
      </w:r>
      <w:r w:rsidR="002B7BAD">
        <w:rPr>
          <w:b/>
          <w:bCs/>
          <w:color w:val="00204F"/>
          <w:sz w:val="28"/>
          <w:szCs w:val="28"/>
        </w:rPr>
        <w:t xml:space="preserve"> </w:t>
      </w:r>
    </w:p>
    <w:p w:rsidR="00A14E73" w:rsidRDefault="00A14E73" w:rsidP="00A14E73">
      <w:pPr>
        <w:ind w:firstLine="0"/>
        <w:rPr>
          <w:szCs w:val="24"/>
        </w:rPr>
      </w:pPr>
    </w:p>
    <w:p w:rsidR="00A14E73" w:rsidRPr="001748C3" w:rsidRDefault="00A14E73" w:rsidP="00A14E73">
      <w:pPr>
        <w:ind w:firstLine="0"/>
        <w:rPr>
          <w:szCs w:val="24"/>
        </w:rPr>
      </w:pPr>
    </w:p>
    <w:tbl>
      <w:tblPr>
        <w:tblStyle w:val="Lentelstinklelis"/>
        <w:tblW w:w="14596" w:type="dxa"/>
        <w:tblLook w:val="04A0" w:firstRow="1" w:lastRow="0" w:firstColumn="1" w:lastColumn="0" w:noHBand="0" w:noVBand="1"/>
      </w:tblPr>
      <w:tblGrid>
        <w:gridCol w:w="521"/>
        <w:gridCol w:w="4152"/>
        <w:gridCol w:w="1494"/>
        <w:gridCol w:w="5877"/>
        <w:gridCol w:w="2552"/>
      </w:tblGrid>
      <w:tr w:rsidR="00A14E73" w:rsidRPr="00C220E8" w:rsidTr="00691065">
        <w:tc>
          <w:tcPr>
            <w:tcW w:w="521" w:type="dxa"/>
          </w:tcPr>
          <w:p w:rsidR="00A14E73" w:rsidRPr="002A66F8" w:rsidRDefault="00A14E73" w:rsidP="003A7CF9">
            <w:pPr>
              <w:ind w:firstLine="0"/>
              <w:jc w:val="left"/>
              <w:rPr>
                <w:b/>
                <w:bCs/>
                <w:sz w:val="20"/>
              </w:rPr>
            </w:pPr>
            <w:r w:rsidRPr="002A66F8">
              <w:rPr>
                <w:b/>
                <w:bCs/>
                <w:sz w:val="20"/>
              </w:rPr>
              <w:t xml:space="preserve">Eil. Nr.  </w:t>
            </w:r>
          </w:p>
        </w:tc>
        <w:tc>
          <w:tcPr>
            <w:tcW w:w="4152" w:type="dxa"/>
          </w:tcPr>
          <w:p w:rsidR="00A14E73" w:rsidRPr="002A66F8" w:rsidRDefault="00A14E73" w:rsidP="003A7CF9">
            <w:pPr>
              <w:ind w:firstLine="0"/>
              <w:jc w:val="left"/>
              <w:rPr>
                <w:b/>
                <w:bCs/>
                <w:sz w:val="20"/>
              </w:rPr>
            </w:pPr>
            <w:r w:rsidRPr="002A66F8">
              <w:rPr>
                <w:b/>
                <w:bCs/>
                <w:sz w:val="20"/>
              </w:rPr>
              <w:t xml:space="preserve">Rekomendacija </w:t>
            </w:r>
          </w:p>
        </w:tc>
        <w:tc>
          <w:tcPr>
            <w:tcW w:w="1494" w:type="dxa"/>
          </w:tcPr>
          <w:p w:rsidR="00A14E73" w:rsidRPr="002A66F8" w:rsidRDefault="00A14E73" w:rsidP="003A7CF9">
            <w:pPr>
              <w:ind w:firstLine="0"/>
              <w:jc w:val="left"/>
              <w:rPr>
                <w:b/>
                <w:bCs/>
                <w:sz w:val="20"/>
              </w:rPr>
            </w:pPr>
            <w:r w:rsidRPr="002A66F8">
              <w:rPr>
                <w:b/>
                <w:bCs/>
                <w:sz w:val="20"/>
              </w:rPr>
              <w:t>Subjektas, kuriam pateikta rekomendacija</w:t>
            </w:r>
          </w:p>
        </w:tc>
        <w:tc>
          <w:tcPr>
            <w:tcW w:w="5877" w:type="dxa"/>
          </w:tcPr>
          <w:p w:rsidR="00A14E73" w:rsidRPr="002A66F8" w:rsidRDefault="00A14E73" w:rsidP="003A7CF9">
            <w:pPr>
              <w:ind w:firstLine="0"/>
              <w:rPr>
                <w:b/>
                <w:bCs/>
                <w:sz w:val="22"/>
                <w:szCs w:val="22"/>
              </w:rPr>
            </w:pPr>
            <w:r w:rsidRPr="002A66F8">
              <w:rPr>
                <w:b/>
                <w:bCs/>
                <w:sz w:val="22"/>
                <w:szCs w:val="22"/>
              </w:rPr>
              <w:t xml:space="preserve">Veiksmas / Priemonės / Komentaras </w:t>
            </w:r>
          </w:p>
        </w:tc>
        <w:tc>
          <w:tcPr>
            <w:tcW w:w="2552" w:type="dxa"/>
          </w:tcPr>
          <w:p w:rsidR="00A14E73" w:rsidRPr="002A66F8" w:rsidRDefault="00A14E73" w:rsidP="003A7CF9">
            <w:pPr>
              <w:ind w:firstLine="0"/>
              <w:rPr>
                <w:b/>
                <w:bCs/>
                <w:sz w:val="22"/>
                <w:szCs w:val="22"/>
              </w:rPr>
            </w:pPr>
            <w:r w:rsidRPr="002A66F8">
              <w:rPr>
                <w:b/>
                <w:bCs/>
                <w:sz w:val="22"/>
                <w:szCs w:val="22"/>
              </w:rPr>
              <w:t xml:space="preserve">Rekomendacijos įgyvendinimo data </w:t>
            </w:r>
          </w:p>
        </w:tc>
      </w:tr>
      <w:tr w:rsidR="00B738C0" w:rsidRPr="00C220E8" w:rsidTr="00691065">
        <w:tc>
          <w:tcPr>
            <w:tcW w:w="521" w:type="dxa"/>
          </w:tcPr>
          <w:p w:rsidR="00B738C0" w:rsidRPr="006E6808" w:rsidRDefault="00B738C0" w:rsidP="00B738C0">
            <w:pPr>
              <w:ind w:firstLine="0"/>
              <w:jc w:val="left"/>
              <w:rPr>
                <w:sz w:val="20"/>
              </w:rPr>
            </w:pPr>
            <w:r w:rsidRPr="006E6808">
              <w:rPr>
                <w:sz w:val="20"/>
              </w:rPr>
              <w:t>1</w:t>
            </w:r>
          </w:p>
        </w:tc>
        <w:tc>
          <w:tcPr>
            <w:tcW w:w="4152" w:type="dxa"/>
          </w:tcPr>
          <w:p w:rsidR="00B738C0" w:rsidRPr="00F03256" w:rsidRDefault="00B738C0" w:rsidP="00B738C0">
            <w:pPr>
              <w:pStyle w:val="Pagrindinistekstas"/>
              <w:spacing w:line="276" w:lineRule="auto"/>
              <w:rPr>
                <w:color w:val="000000" w:themeColor="text1"/>
                <w:sz w:val="22"/>
                <w:szCs w:val="22"/>
              </w:rPr>
            </w:pPr>
            <w:r w:rsidRPr="00F03256">
              <w:rPr>
                <w:sz w:val="22"/>
                <w:szCs w:val="22"/>
              </w:rPr>
              <w:t xml:space="preserve">Siekiant, kad nebaigtos statybos sąskaitoje nebūtų apskaityti eksploatuojami ir naudojami </w:t>
            </w:r>
            <w:r w:rsidRPr="00F03256">
              <w:rPr>
                <w:color w:val="000000" w:themeColor="text1"/>
                <w:sz w:val="22"/>
                <w:szCs w:val="22"/>
              </w:rPr>
              <w:t>objektai, inicijuoti šių objektų perdavimą turto valdytojams.</w:t>
            </w:r>
          </w:p>
        </w:tc>
        <w:tc>
          <w:tcPr>
            <w:tcW w:w="1494" w:type="dxa"/>
          </w:tcPr>
          <w:p w:rsidR="00B738C0" w:rsidRPr="006E6808" w:rsidRDefault="00B738C0" w:rsidP="00B738C0">
            <w:pPr>
              <w:ind w:firstLine="0"/>
              <w:jc w:val="left"/>
              <w:rPr>
                <w:sz w:val="20"/>
              </w:rPr>
            </w:pPr>
            <w:r w:rsidRPr="006E6808">
              <w:rPr>
                <w:sz w:val="20"/>
              </w:rPr>
              <w:t>Savivaldybės administracija</w:t>
            </w:r>
          </w:p>
        </w:tc>
        <w:tc>
          <w:tcPr>
            <w:tcW w:w="5877" w:type="dxa"/>
          </w:tcPr>
          <w:p w:rsidR="00B738C0" w:rsidRPr="00B738C0" w:rsidRDefault="00B738C0" w:rsidP="00B738C0">
            <w:pPr>
              <w:ind w:firstLine="0"/>
              <w:rPr>
                <w:color w:val="FF0000"/>
                <w:sz w:val="22"/>
                <w:szCs w:val="22"/>
              </w:rPr>
            </w:pPr>
            <w:r w:rsidRPr="00B738C0">
              <w:rPr>
                <w:sz w:val="22"/>
                <w:szCs w:val="22"/>
              </w:rPr>
              <w:t>Vietos ūkio skyrius peržiūri nebaigtos statybos sąrašą ir inicijuoja perdavimo procedūras.</w:t>
            </w:r>
          </w:p>
        </w:tc>
        <w:tc>
          <w:tcPr>
            <w:tcW w:w="2552" w:type="dxa"/>
          </w:tcPr>
          <w:p w:rsidR="00B738C0" w:rsidRPr="00B738C0" w:rsidRDefault="00B738C0" w:rsidP="00B738C0">
            <w:pPr>
              <w:ind w:firstLine="0"/>
              <w:rPr>
                <w:color w:val="FF0000"/>
                <w:sz w:val="20"/>
              </w:rPr>
            </w:pPr>
            <w:r>
              <w:rPr>
                <w:sz w:val="20"/>
              </w:rPr>
              <w:t>2024 m. gruodžio 31 d.</w:t>
            </w:r>
          </w:p>
        </w:tc>
      </w:tr>
      <w:tr w:rsidR="00B738C0" w:rsidRPr="00C220E8" w:rsidTr="00691065">
        <w:tc>
          <w:tcPr>
            <w:tcW w:w="521" w:type="dxa"/>
          </w:tcPr>
          <w:p w:rsidR="00B738C0" w:rsidRPr="006E6808" w:rsidRDefault="00B738C0" w:rsidP="00B738C0">
            <w:pPr>
              <w:ind w:firstLine="0"/>
              <w:jc w:val="left"/>
              <w:rPr>
                <w:sz w:val="20"/>
              </w:rPr>
            </w:pPr>
            <w:r>
              <w:rPr>
                <w:sz w:val="20"/>
              </w:rPr>
              <w:t>2</w:t>
            </w:r>
          </w:p>
        </w:tc>
        <w:tc>
          <w:tcPr>
            <w:tcW w:w="4152" w:type="dxa"/>
          </w:tcPr>
          <w:p w:rsidR="00B738C0" w:rsidRPr="001D3800" w:rsidRDefault="00B738C0" w:rsidP="00B738C0">
            <w:pPr>
              <w:ind w:firstLine="0"/>
              <w:rPr>
                <w:sz w:val="22"/>
                <w:szCs w:val="22"/>
              </w:rPr>
            </w:pPr>
            <w:r w:rsidRPr="001D3800">
              <w:rPr>
                <w:sz w:val="22"/>
                <w:szCs w:val="22"/>
              </w:rPr>
              <w:t>Siekiant, kad visi vietinės reikšmės keliai (gatvės) būtų registruoti Nekilnojamo turto registre ir įrašyti į Valstybės ir vietinės reikšmės kelių turto valdymo informacinę sistemą, numatyti priemones, kurios paspartintų kelių kadastrinių matavimų vykdymą ir teisinę registraciją.</w:t>
            </w:r>
          </w:p>
        </w:tc>
        <w:tc>
          <w:tcPr>
            <w:tcW w:w="1494" w:type="dxa"/>
          </w:tcPr>
          <w:p w:rsidR="00B738C0" w:rsidRPr="006E6808" w:rsidRDefault="00B738C0" w:rsidP="00B738C0">
            <w:pPr>
              <w:ind w:firstLine="0"/>
              <w:jc w:val="left"/>
              <w:rPr>
                <w:sz w:val="20"/>
              </w:rPr>
            </w:pPr>
            <w:r w:rsidRPr="006E6808">
              <w:rPr>
                <w:sz w:val="20"/>
              </w:rPr>
              <w:t>Savivaldybės administracija</w:t>
            </w:r>
          </w:p>
        </w:tc>
        <w:tc>
          <w:tcPr>
            <w:tcW w:w="5877" w:type="dxa"/>
          </w:tcPr>
          <w:p w:rsidR="00B738C0" w:rsidRPr="00C220E8" w:rsidRDefault="00B738C0" w:rsidP="00B738C0">
            <w:pPr>
              <w:ind w:firstLine="0"/>
              <w:rPr>
                <w:sz w:val="22"/>
                <w:szCs w:val="22"/>
              </w:rPr>
            </w:pPr>
            <w:r>
              <w:rPr>
                <w:sz w:val="22"/>
                <w:szCs w:val="22"/>
              </w:rPr>
              <w:t xml:space="preserve">Seniūnai organizuoja neregistruotų gatvių gyventojų susirinkimus ir paskatina atlikti privačių žemės sklypų geodezinius </w:t>
            </w:r>
            <w:proofErr w:type="spellStart"/>
            <w:r>
              <w:rPr>
                <w:sz w:val="22"/>
                <w:szCs w:val="22"/>
              </w:rPr>
              <w:t>matavimus</w:t>
            </w:r>
            <w:proofErr w:type="spellEnd"/>
            <w:r>
              <w:rPr>
                <w:sz w:val="22"/>
                <w:szCs w:val="22"/>
              </w:rPr>
              <w:t>, kad būtų galimybė įregistruoti kelius, kurie kerta privačius žemės sklypus.</w:t>
            </w:r>
          </w:p>
        </w:tc>
        <w:tc>
          <w:tcPr>
            <w:tcW w:w="2552" w:type="dxa"/>
          </w:tcPr>
          <w:p w:rsidR="00B738C0" w:rsidRPr="00F54E44" w:rsidRDefault="00B738C0" w:rsidP="00B738C0">
            <w:pPr>
              <w:ind w:firstLine="0"/>
              <w:rPr>
                <w:sz w:val="20"/>
              </w:rPr>
            </w:pPr>
            <w:r>
              <w:rPr>
                <w:sz w:val="20"/>
              </w:rPr>
              <w:t>2024 m. gruodžio 31 d.</w:t>
            </w:r>
          </w:p>
        </w:tc>
      </w:tr>
      <w:tr w:rsidR="006700DD" w:rsidRPr="00C220E8" w:rsidTr="00691065">
        <w:tc>
          <w:tcPr>
            <w:tcW w:w="521" w:type="dxa"/>
          </w:tcPr>
          <w:p w:rsidR="006700DD" w:rsidRPr="006E6808" w:rsidRDefault="006700DD" w:rsidP="006700DD">
            <w:pPr>
              <w:ind w:firstLine="0"/>
              <w:jc w:val="left"/>
              <w:rPr>
                <w:sz w:val="20"/>
              </w:rPr>
            </w:pPr>
            <w:r>
              <w:rPr>
                <w:sz w:val="20"/>
              </w:rPr>
              <w:t>3</w:t>
            </w:r>
          </w:p>
        </w:tc>
        <w:tc>
          <w:tcPr>
            <w:tcW w:w="4152" w:type="dxa"/>
          </w:tcPr>
          <w:p w:rsidR="006700DD" w:rsidRPr="00F03256" w:rsidRDefault="006700DD" w:rsidP="006700DD">
            <w:pPr>
              <w:autoSpaceDE w:val="0"/>
              <w:autoSpaceDN w:val="0"/>
              <w:adjustRightInd w:val="0"/>
              <w:ind w:firstLine="0"/>
              <w:rPr>
                <w:rFonts w:eastAsia="TimesNewRomanPSMT"/>
                <w:color w:val="000000" w:themeColor="text1"/>
                <w:sz w:val="22"/>
                <w:szCs w:val="22"/>
              </w:rPr>
            </w:pPr>
            <w:r w:rsidRPr="00F03256">
              <w:rPr>
                <w:color w:val="000000" w:themeColor="text1"/>
                <w:sz w:val="22"/>
                <w:szCs w:val="22"/>
              </w:rPr>
              <w:t>Siekiant, kad S</w:t>
            </w:r>
            <w:r w:rsidRPr="00F03256">
              <w:rPr>
                <w:rFonts w:eastAsia="TimesNewRomanPSMT"/>
                <w:color w:val="000000" w:themeColor="text1"/>
                <w:sz w:val="22"/>
                <w:szCs w:val="22"/>
              </w:rPr>
              <w:t>avivaldybės biudžeto lėšos būtų naudojamos pagal teisės aktų ir (ar) kitus reika</w:t>
            </w:r>
            <w:r w:rsidRPr="00F03256">
              <w:rPr>
                <w:color w:val="000000" w:themeColor="text1"/>
                <w:sz w:val="22"/>
                <w:szCs w:val="22"/>
              </w:rPr>
              <w:t>lavimus, rekomenduojame, reglamentuo</w:t>
            </w:r>
            <w:r w:rsidRPr="00F03256">
              <w:rPr>
                <w:rFonts w:eastAsia="TimesNewRomanPSMT"/>
                <w:color w:val="000000" w:themeColor="text1"/>
                <w:sz w:val="22"/>
                <w:szCs w:val="22"/>
              </w:rPr>
              <w:t xml:space="preserve">ti pareigybių skaičiaus </w:t>
            </w:r>
            <w:r w:rsidRPr="00F03256">
              <w:rPr>
                <w:color w:val="000000" w:themeColor="text1"/>
                <w:sz w:val="22"/>
                <w:szCs w:val="22"/>
              </w:rPr>
              <w:t xml:space="preserve">nustatymo kriterijus ir </w:t>
            </w:r>
            <w:r w:rsidRPr="00F03256">
              <w:rPr>
                <w:rFonts w:eastAsia="TimesNewRomanPSMT"/>
                <w:color w:val="000000" w:themeColor="text1"/>
                <w:sz w:val="22"/>
                <w:szCs w:val="22"/>
              </w:rPr>
              <w:t>tvarką</w:t>
            </w:r>
            <w:r>
              <w:rPr>
                <w:rFonts w:eastAsia="TimesNewRomanPSMT"/>
                <w:color w:val="000000" w:themeColor="text1"/>
                <w:sz w:val="22"/>
                <w:szCs w:val="22"/>
              </w:rPr>
              <w:t xml:space="preserve"> ir</w:t>
            </w:r>
            <w:r w:rsidRPr="00F03256">
              <w:rPr>
                <w:rFonts w:eastAsia="TimesNewRomanPSMT"/>
                <w:color w:val="000000" w:themeColor="text1"/>
                <w:sz w:val="22"/>
                <w:szCs w:val="22"/>
              </w:rPr>
              <w:t xml:space="preserve"> užtikrinti nuolatinę žmogiškųjų išteklių analizę Savivaldybės biudžetinėse įstaigose.</w:t>
            </w:r>
          </w:p>
        </w:tc>
        <w:tc>
          <w:tcPr>
            <w:tcW w:w="1494" w:type="dxa"/>
          </w:tcPr>
          <w:p w:rsidR="006700DD" w:rsidRPr="006E6808" w:rsidRDefault="006700DD" w:rsidP="006700DD">
            <w:pPr>
              <w:ind w:firstLine="0"/>
              <w:jc w:val="left"/>
              <w:rPr>
                <w:sz w:val="20"/>
              </w:rPr>
            </w:pPr>
            <w:r w:rsidRPr="006E6808">
              <w:rPr>
                <w:sz w:val="20"/>
              </w:rPr>
              <w:t>Savivaldybės administracija</w:t>
            </w:r>
          </w:p>
        </w:tc>
        <w:tc>
          <w:tcPr>
            <w:tcW w:w="5877" w:type="dxa"/>
          </w:tcPr>
          <w:p w:rsidR="00417FAF" w:rsidRPr="00417FAF" w:rsidRDefault="006700DD" w:rsidP="006700DD">
            <w:pPr>
              <w:ind w:firstLine="0"/>
              <w:rPr>
                <w:color w:val="000000"/>
                <w:sz w:val="22"/>
                <w:szCs w:val="22"/>
              </w:rPr>
            </w:pPr>
            <w:r w:rsidRPr="00417FAF">
              <w:rPr>
                <w:sz w:val="22"/>
                <w:szCs w:val="22"/>
              </w:rPr>
              <w:t>2024 m. sausio 8 d. iš Vyriausybės atstovų įstaigos gautas raštas (Kont</w:t>
            </w:r>
            <w:r w:rsidRPr="00417FAF">
              <w:rPr>
                <w:color w:val="000000"/>
                <w:sz w:val="22"/>
                <w:szCs w:val="22"/>
              </w:rPr>
              <w:t>o</w:t>
            </w:r>
            <w:r w:rsidRPr="00417FAF">
              <w:rPr>
                <w:sz w:val="22"/>
                <w:szCs w:val="22"/>
              </w:rPr>
              <w:t>roje Nr. AG-132), kuriame pažymima, kad 2024 m. sausio 1 d. įsigaliojo Lietuvos Respublikos Seime 2023 m. lapkričio 16 d. priimtas Lietuvos Respublikos biudžetinių įstaigų įstatymo Nr. I-1113 pakeitimo įstatymas Nr. XIV-2241.</w:t>
            </w:r>
            <w:r w:rsidRPr="00417FAF">
              <w:rPr>
                <w:color w:val="000000"/>
                <w:sz w:val="22"/>
                <w:szCs w:val="22"/>
                <w:shd w:val="clear" w:color="auto" w:fill="FFFFFF"/>
              </w:rPr>
              <w:t xml:space="preserve"> Biudžetinių įstaigų įstatymo 5 straipsnio 3 dalies 1 punkte nurodyta, jog biudžetinės įstaigos savininko teises ir pareigas įgyvendinanti institucija tvirtina biudžetinės įstaigos nuostatus, o to paties įstatymo 11 straipsnio 1 dalies 4 punkte imperatyviai nurodyta, kad biudžetinės įstaigos vadovas nustato biudžetinės įstaigos struktūrą ir darbuotojų pareigybių sąrašą. Rašte taip pat pažymima, kad </w:t>
            </w:r>
            <w:r w:rsidRPr="00417FAF">
              <w:rPr>
                <w:color w:val="000000"/>
                <w:sz w:val="22"/>
                <w:szCs w:val="22"/>
              </w:rPr>
              <w:t>siekiant išvengti galimų teisinių abejonių ar prieštaravimų, biudžetinių įstaigų nuostatų ir kitų sprendimų projektuose siūlome vengti biudžetinės įstaigos vadovo kompetenciją ribojančių nuostatų ir peržiūrėti ir pakeisti ar panaikinti kitus galiojančius tarybų sprendimus, kurie susiję su biudžetinių įstaigų struktūros bei pareigybių skaičiaus nustatymu.</w:t>
            </w:r>
          </w:p>
          <w:p w:rsidR="006700DD" w:rsidRPr="00417FAF" w:rsidRDefault="006700DD" w:rsidP="006700DD">
            <w:pPr>
              <w:ind w:firstLine="0"/>
              <w:rPr>
                <w:rFonts w:eastAsia="TimesNewRomanPSMT"/>
                <w:color w:val="000000" w:themeColor="text1"/>
                <w:sz w:val="22"/>
                <w:szCs w:val="22"/>
              </w:rPr>
            </w:pPr>
            <w:r w:rsidRPr="00417FAF">
              <w:rPr>
                <w:color w:val="000000"/>
                <w:sz w:val="22"/>
                <w:szCs w:val="22"/>
              </w:rPr>
              <w:t xml:space="preserve">Vadovaujantis </w:t>
            </w:r>
            <w:r w:rsidRPr="00417FAF">
              <w:rPr>
                <w:sz w:val="22"/>
                <w:szCs w:val="22"/>
              </w:rPr>
              <w:t xml:space="preserve">Vyriausybės atstovų įstaigos rašte išdėstytomis nuostatomis, neteikiame tvirtinti </w:t>
            </w:r>
            <w:r w:rsidRPr="00417FAF">
              <w:rPr>
                <w:rFonts w:eastAsia="TimesNewRomanPSMT"/>
                <w:color w:val="000000" w:themeColor="text1"/>
                <w:sz w:val="22"/>
                <w:szCs w:val="22"/>
              </w:rPr>
              <w:t xml:space="preserve">pareigybių skaičiaus </w:t>
            </w:r>
            <w:r w:rsidRPr="00417FAF">
              <w:rPr>
                <w:color w:val="000000" w:themeColor="text1"/>
                <w:sz w:val="22"/>
                <w:szCs w:val="22"/>
              </w:rPr>
              <w:t xml:space="preserve">nustatymo kriterijų ir </w:t>
            </w:r>
            <w:r w:rsidRPr="00417FAF">
              <w:rPr>
                <w:rFonts w:eastAsia="TimesNewRomanPSMT"/>
                <w:color w:val="000000" w:themeColor="text1"/>
                <w:sz w:val="22"/>
                <w:szCs w:val="22"/>
              </w:rPr>
              <w:t xml:space="preserve">tvarkos. </w:t>
            </w:r>
          </w:p>
          <w:p w:rsidR="006700DD" w:rsidRPr="00622CDF" w:rsidRDefault="006700DD" w:rsidP="006700DD">
            <w:pPr>
              <w:ind w:firstLine="0"/>
              <w:rPr>
                <w:szCs w:val="24"/>
              </w:rPr>
            </w:pPr>
            <w:r w:rsidRPr="00417FAF">
              <w:rPr>
                <w:rFonts w:eastAsia="TimesNewRomanPSMT"/>
                <w:color w:val="000000" w:themeColor="text1"/>
                <w:sz w:val="22"/>
                <w:szCs w:val="22"/>
              </w:rPr>
              <w:lastRenderedPageBreak/>
              <w:t>Siekiant užtikrinti nuolatinę žmogiškųjų išteklių analizę Savivaldybės biudžetinėse įstaigose, planuojama parengti 2024 m. sausio - spalio mėnesiais neužimtų etatų analizę.</w:t>
            </w:r>
          </w:p>
        </w:tc>
        <w:tc>
          <w:tcPr>
            <w:tcW w:w="2552" w:type="dxa"/>
          </w:tcPr>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417FAF" w:rsidRDefault="00417FAF" w:rsidP="006700DD">
            <w:pPr>
              <w:ind w:firstLine="0"/>
              <w:rPr>
                <w:color w:val="000000"/>
                <w:szCs w:val="24"/>
              </w:rPr>
            </w:pPr>
          </w:p>
          <w:p w:rsidR="006700DD" w:rsidRDefault="006700DD" w:rsidP="00417FAF">
            <w:pPr>
              <w:ind w:firstLine="0"/>
              <w:rPr>
                <w:sz w:val="20"/>
              </w:rPr>
            </w:pPr>
          </w:p>
          <w:p w:rsidR="00417FAF" w:rsidRDefault="00417FAF" w:rsidP="00417FAF">
            <w:pPr>
              <w:ind w:firstLine="0"/>
              <w:rPr>
                <w:sz w:val="20"/>
              </w:rPr>
            </w:pPr>
          </w:p>
          <w:p w:rsidR="00417FAF" w:rsidRDefault="00417FAF" w:rsidP="00417FAF">
            <w:pPr>
              <w:ind w:firstLine="0"/>
              <w:rPr>
                <w:sz w:val="20"/>
              </w:rPr>
            </w:pPr>
          </w:p>
          <w:p w:rsidR="00417FAF" w:rsidRDefault="00417FAF" w:rsidP="00417FAF">
            <w:pPr>
              <w:ind w:firstLine="0"/>
              <w:rPr>
                <w:sz w:val="20"/>
              </w:rPr>
            </w:pPr>
          </w:p>
          <w:p w:rsidR="00417FAF" w:rsidRDefault="00417FAF" w:rsidP="00417FAF">
            <w:pPr>
              <w:ind w:firstLine="0"/>
              <w:rPr>
                <w:sz w:val="20"/>
              </w:rPr>
            </w:pPr>
          </w:p>
          <w:p w:rsidR="00417FAF" w:rsidRDefault="00417FAF" w:rsidP="00417FAF">
            <w:pPr>
              <w:ind w:firstLine="0"/>
              <w:rPr>
                <w:sz w:val="20"/>
              </w:rPr>
            </w:pPr>
          </w:p>
          <w:p w:rsidR="00417FAF" w:rsidRDefault="00417FAF" w:rsidP="00417FAF">
            <w:pPr>
              <w:ind w:firstLine="0"/>
              <w:rPr>
                <w:sz w:val="20"/>
              </w:rPr>
            </w:pPr>
          </w:p>
          <w:p w:rsidR="00417FAF" w:rsidRDefault="00417FAF" w:rsidP="00417FAF">
            <w:pPr>
              <w:ind w:firstLine="0"/>
              <w:rPr>
                <w:color w:val="000000"/>
                <w:szCs w:val="24"/>
              </w:rPr>
            </w:pPr>
          </w:p>
          <w:p w:rsidR="00417FAF" w:rsidRDefault="00417FAF" w:rsidP="00691065">
            <w:pPr>
              <w:ind w:firstLine="0"/>
              <w:jc w:val="left"/>
              <w:rPr>
                <w:rFonts w:eastAsia="TimesNewRomanPSMT"/>
                <w:color w:val="000000" w:themeColor="text1"/>
                <w:sz w:val="22"/>
                <w:szCs w:val="22"/>
              </w:rPr>
            </w:pPr>
            <w:r w:rsidRPr="00417FAF">
              <w:rPr>
                <w:color w:val="000000"/>
                <w:sz w:val="22"/>
                <w:szCs w:val="22"/>
              </w:rPr>
              <w:lastRenderedPageBreak/>
              <w:t>2024 m. lapkričio 15 d.</w:t>
            </w:r>
            <w:r w:rsidRPr="00417FAF">
              <w:rPr>
                <w:rFonts w:eastAsia="TimesNewRomanPSMT"/>
                <w:color w:val="000000" w:themeColor="text1"/>
                <w:sz w:val="22"/>
                <w:szCs w:val="22"/>
              </w:rPr>
              <w:t xml:space="preserve"> Finansų ir biudžeto skyrius.</w:t>
            </w:r>
          </w:p>
          <w:p w:rsidR="00691065" w:rsidRPr="00691065" w:rsidRDefault="00691065" w:rsidP="00691065">
            <w:pPr>
              <w:ind w:firstLine="0"/>
              <w:jc w:val="left"/>
              <w:rPr>
                <w:rFonts w:eastAsia="TimesNewRomanPSMT"/>
                <w:b/>
                <w:color w:val="000000" w:themeColor="text1"/>
                <w:sz w:val="22"/>
                <w:szCs w:val="22"/>
              </w:rPr>
            </w:pPr>
            <w:r w:rsidRPr="00691065">
              <w:rPr>
                <w:rFonts w:eastAsia="TimesNewRomanPSMT"/>
                <w:b/>
                <w:color w:val="000000" w:themeColor="text1"/>
                <w:sz w:val="22"/>
                <w:szCs w:val="22"/>
              </w:rPr>
              <w:t>Finansų ir biudžeto skyriaus 2024-09-06 pastaba:</w:t>
            </w:r>
          </w:p>
          <w:p w:rsidR="00691065" w:rsidRPr="00691065" w:rsidRDefault="00691065" w:rsidP="00691065">
            <w:pPr>
              <w:ind w:firstLine="0"/>
              <w:jc w:val="left"/>
              <w:rPr>
                <w:color w:val="000000"/>
                <w:sz w:val="22"/>
                <w:szCs w:val="22"/>
              </w:rPr>
            </w:pPr>
            <w:r w:rsidRPr="00691065">
              <w:rPr>
                <w:color w:val="000000"/>
                <w:sz w:val="22"/>
                <w:szCs w:val="22"/>
              </w:rPr>
              <w:t>Visoms įstaigoms išsiųstas raštas (</w:t>
            </w:r>
            <w:r>
              <w:rPr>
                <w:color w:val="000000"/>
                <w:sz w:val="22"/>
                <w:szCs w:val="22"/>
                <w:shd w:val="clear" w:color="auto" w:fill="FFFFFF"/>
              </w:rPr>
              <w:t>Kontoroje raštas 2024-06-</w:t>
            </w:r>
            <w:r w:rsidRPr="00691065">
              <w:rPr>
                <w:color w:val="000000"/>
                <w:sz w:val="22"/>
                <w:szCs w:val="22"/>
                <w:shd w:val="clear" w:color="auto" w:fill="FFFFFF"/>
              </w:rPr>
              <w:t>28 Nr. AS</w:t>
            </w:r>
            <w:r>
              <w:rPr>
                <w:color w:val="000000"/>
                <w:sz w:val="22"/>
                <w:szCs w:val="22"/>
                <w:shd w:val="clear" w:color="auto" w:fill="FFFFFF"/>
              </w:rPr>
              <w:t>-</w:t>
            </w:r>
            <w:r w:rsidRPr="00691065">
              <w:rPr>
                <w:color w:val="000000"/>
                <w:sz w:val="22"/>
                <w:szCs w:val="22"/>
                <w:shd w:val="clear" w:color="auto" w:fill="FFFFFF"/>
              </w:rPr>
              <w:t xml:space="preserve"> 3697</w:t>
            </w:r>
            <w:r>
              <w:rPr>
                <w:color w:val="000000"/>
                <w:sz w:val="22"/>
                <w:szCs w:val="22"/>
                <w:shd w:val="clear" w:color="auto" w:fill="FFFFFF"/>
              </w:rPr>
              <w:t>)</w:t>
            </w:r>
            <w:r w:rsidRPr="00691065">
              <w:rPr>
                <w:color w:val="000000"/>
                <w:sz w:val="22"/>
                <w:szCs w:val="22"/>
                <w:shd w:val="clear" w:color="auto" w:fill="FFFFFF"/>
              </w:rPr>
              <w:t xml:space="preserve"> </w:t>
            </w:r>
            <w:r w:rsidRPr="00691065">
              <w:rPr>
                <w:color w:val="000000"/>
                <w:sz w:val="22"/>
                <w:szCs w:val="22"/>
              </w:rPr>
              <w:t>su lentele</w:t>
            </w:r>
            <w:r w:rsidRPr="00691065">
              <w:rPr>
                <w:color w:val="000000"/>
                <w:sz w:val="22"/>
                <w:szCs w:val="22"/>
                <w:shd w:val="clear" w:color="auto" w:fill="FFFFFF"/>
              </w:rPr>
              <w:t>. </w:t>
            </w:r>
          </w:p>
          <w:p w:rsidR="00691065" w:rsidRPr="00417FAF" w:rsidRDefault="00691065" w:rsidP="00691065">
            <w:pPr>
              <w:ind w:firstLine="0"/>
              <w:jc w:val="left"/>
              <w:rPr>
                <w:sz w:val="22"/>
                <w:szCs w:val="22"/>
              </w:rPr>
            </w:pPr>
            <w:r w:rsidRPr="00691065">
              <w:rPr>
                <w:color w:val="000000"/>
                <w:sz w:val="22"/>
                <w:szCs w:val="22"/>
              </w:rPr>
              <w:t>Įstaigos t</w:t>
            </w:r>
            <w:r>
              <w:rPr>
                <w:color w:val="000000"/>
                <w:sz w:val="22"/>
                <w:szCs w:val="22"/>
              </w:rPr>
              <w:t>uri pateikti užpildytą lentelę „Neužimtų pareigybių atskaita“</w:t>
            </w:r>
            <w:r w:rsidRPr="00691065">
              <w:rPr>
                <w:color w:val="000000"/>
                <w:sz w:val="22"/>
                <w:szCs w:val="22"/>
              </w:rPr>
              <w:t xml:space="preserve"> iki lapkričio 5 d.</w:t>
            </w:r>
            <w:r w:rsidR="00C1709F">
              <w:rPr>
                <w:color w:val="000000"/>
                <w:sz w:val="22"/>
                <w:szCs w:val="22"/>
              </w:rPr>
              <w:t xml:space="preserve"> (lentelė pridedama).</w:t>
            </w:r>
            <w:bookmarkStart w:id="0" w:name="_GoBack"/>
            <w:bookmarkEnd w:id="0"/>
            <w:r w:rsidRPr="00691065">
              <w:rPr>
                <w:color w:val="000000"/>
                <w:sz w:val="22"/>
                <w:szCs w:val="22"/>
              </w:rPr>
              <w:t xml:space="preserve"> </w:t>
            </w:r>
          </w:p>
        </w:tc>
      </w:tr>
      <w:tr w:rsidR="00B738C0" w:rsidRPr="00C220E8" w:rsidTr="00691065">
        <w:tc>
          <w:tcPr>
            <w:tcW w:w="521" w:type="dxa"/>
          </w:tcPr>
          <w:p w:rsidR="00B738C0" w:rsidRPr="006E6808" w:rsidRDefault="00B738C0" w:rsidP="00B738C0">
            <w:pPr>
              <w:ind w:firstLine="0"/>
              <w:jc w:val="left"/>
              <w:rPr>
                <w:sz w:val="20"/>
              </w:rPr>
            </w:pPr>
            <w:r>
              <w:rPr>
                <w:sz w:val="20"/>
              </w:rPr>
              <w:lastRenderedPageBreak/>
              <w:t>4</w:t>
            </w:r>
          </w:p>
        </w:tc>
        <w:tc>
          <w:tcPr>
            <w:tcW w:w="4152" w:type="dxa"/>
          </w:tcPr>
          <w:p w:rsidR="00B738C0" w:rsidRPr="00F03256" w:rsidRDefault="00B738C0" w:rsidP="00B738C0">
            <w:pPr>
              <w:ind w:firstLine="0"/>
              <w:rPr>
                <w:sz w:val="22"/>
                <w:szCs w:val="22"/>
              </w:rPr>
            </w:pPr>
            <w:r w:rsidRPr="00F03256">
              <w:rPr>
                <w:rFonts w:eastAsia="TimesNewRomanPSMT"/>
                <w:color w:val="000000" w:themeColor="text1"/>
                <w:sz w:val="22"/>
                <w:szCs w:val="22"/>
              </w:rPr>
              <w:t>Siekiant, kad būtų teisėtai mokamos kompensacijos už nepanaudotas atostogas, vadovautis Darbo kodekso 127 str. 6 d. nuostata</w:t>
            </w:r>
          </w:p>
        </w:tc>
        <w:tc>
          <w:tcPr>
            <w:tcW w:w="1494" w:type="dxa"/>
          </w:tcPr>
          <w:p w:rsidR="00B738C0" w:rsidRPr="006E6808" w:rsidRDefault="00B738C0" w:rsidP="00B738C0">
            <w:pPr>
              <w:ind w:firstLine="0"/>
              <w:jc w:val="left"/>
              <w:rPr>
                <w:sz w:val="20"/>
              </w:rPr>
            </w:pPr>
            <w:r w:rsidRPr="006E6808">
              <w:rPr>
                <w:sz w:val="20"/>
              </w:rPr>
              <w:t>Savivaldybės administracija</w:t>
            </w:r>
          </w:p>
        </w:tc>
        <w:tc>
          <w:tcPr>
            <w:tcW w:w="5877" w:type="dxa"/>
          </w:tcPr>
          <w:p w:rsidR="00B738C0" w:rsidRPr="00B738C0" w:rsidRDefault="00B738C0" w:rsidP="00B738C0">
            <w:pPr>
              <w:ind w:firstLine="0"/>
              <w:jc w:val="left"/>
              <w:rPr>
                <w:sz w:val="22"/>
                <w:szCs w:val="22"/>
              </w:rPr>
            </w:pPr>
            <w:r w:rsidRPr="00B738C0">
              <w:rPr>
                <w:sz w:val="22"/>
                <w:szCs w:val="22"/>
              </w:rPr>
              <w:t xml:space="preserve">Paruoštas ir patvirtintas Savivaldybės mero potvarkis „Dėl Plungės rajono savivaldybės biudžetinių ir viešųjų įstaigų vadovų komandiruočių ir atostogų suteikimo, atšaukimo tvarkos aprašo patvirtinimo“, kuriame aiškiai reglamentuota atostogų suteikimo tvarka, terminai ir sąlygos. </w:t>
            </w:r>
          </w:p>
        </w:tc>
        <w:tc>
          <w:tcPr>
            <w:tcW w:w="2552" w:type="dxa"/>
          </w:tcPr>
          <w:p w:rsidR="00B738C0" w:rsidRPr="00B738C0" w:rsidRDefault="00950C25" w:rsidP="00B738C0">
            <w:pPr>
              <w:ind w:firstLine="0"/>
              <w:rPr>
                <w:sz w:val="22"/>
                <w:szCs w:val="22"/>
              </w:rPr>
            </w:pPr>
            <w:r>
              <w:rPr>
                <w:sz w:val="22"/>
                <w:szCs w:val="22"/>
              </w:rPr>
              <w:t xml:space="preserve">Savivaldybės mero </w:t>
            </w:r>
            <w:r w:rsidRPr="00B738C0">
              <w:rPr>
                <w:sz w:val="22"/>
                <w:szCs w:val="22"/>
              </w:rPr>
              <w:t>2023</w:t>
            </w:r>
            <w:r>
              <w:rPr>
                <w:sz w:val="22"/>
                <w:szCs w:val="22"/>
              </w:rPr>
              <w:t xml:space="preserve"> m. </w:t>
            </w:r>
            <w:r w:rsidR="00B738C0">
              <w:rPr>
                <w:sz w:val="22"/>
                <w:szCs w:val="22"/>
              </w:rPr>
              <w:t xml:space="preserve">rugsėjo </w:t>
            </w:r>
            <w:r w:rsidR="00B738C0" w:rsidRPr="00B738C0">
              <w:rPr>
                <w:sz w:val="22"/>
                <w:szCs w:val="22"/>
              </w:rPr>
              <w:t>4</w:t>
            </w:r>
            <w:r w:rsidR="00B738C0">
              <w:rPr>
                <w:sz w:val="22"/>
                <w:szCs w:val="22"/>
              </w:rPr>
              <w:t xml:space="preserve"> d.</w:t>
            </w:r>
            <w:r>
              <w:rPr>
                <w:sz w:val="22"/>
                <w:szCs w:val="22"/>
              </w:rPr>
              <w:t xml:space="preserve"> potvarkiu</w:t>
            </w:r>
          </w:p>
          <w:p w:rsidR="00B738C0" w:rsidRPr="00B738C0" w:rsidRDefault="00B738C0" w:rsidP="00B738C0">
            <w:pPr>
              <w:ind w:firstLine="0"/>
              <w:rPr>
                <w:sz w:val="22"/>
                <w:szCs w:val="22"/>
              </w:rPr>
            </w:pPr>
            <w:r>
              <w:rPr>
                <w:sz w:val="22"/>
                <w:szCs w:val="22"/>
              </w:rPr>
              <w:t xml:space="preserve">Nr. </w:t>
            </w:r>
            <w:r w:rsidRPr="00B738C0">
              <w:rPr>
                <w:sz w:val="22"/>
                <w:szCs w:val="22"/>
              </w:rPr>
              <w:t>PE-239</w:t>
            </w:r>
            <w:r w:rsidR="00950C25">
              <w:rPr>
                <w:sz w:val="22"/>
                <w:szCs w:val="22"/>
              </w:rPr>
              <w:t xml:space="preserve"> patvirtintas tvarkos aprašas.</w:t>
            </w:r>
          </w:p>
        </w:tc>
      </w:tr>
      <w:tr w:rsidR="00B738C0" w:rsidRPr="00C220E8" w:rsidTr="00691065">
        <w:tc>
          <w:tcPr>
            <w:tcW w:w="521" w:type="dxa"/>
            <w:vMerge w:val="restart"/>
          </w:tcPr>
          <w:p w:rsidR="00B738C0" w:rsidRDefault="00B738C0" w:rsidP="00B738C0">
            <w:pPr>
              <w:ind w:firstLine="0"/>
              <w:jc w:val="left"/>
              <w:rPr>
                <w:sz w:val="20"/>
              </w:rPr>
            </w:pPr>
            <w:r>
              <w:rPr>
                <w:sz w:val="20"/>
              </w:rPr>
              <w:t>5</w:t>
            </w:r>
          </w:p>
        </w:tc>
        <w:tc>
          <w:tcPr>
            <w:tcW w:w="4152" w:type="dxa"/>
            <w:vMerge w:val="restart"/>
          </w:tcPr>
          <w:p w:rsidR="00B738C0" w:rsidRPr="00D16011" w:rsidRDefault="00B738C0" w:rsidP="00B738C0">
            <w:pPr>
              <w:ind w:firstLine="0"/>
              <w:rPr>
                <w:sz w:val="22"/>
                <w:szCs w:val="22"/>
              </w:rPr>
            </w:pPr>
            <w:r w:rsidRPr="00D16011">
              <w:rPr>
                <w:sz w:val="22"/>
                <w:szCs w:val="22"/>
              </w:rPr>
              <w:t>Siekiant tikslingai ir efektyviai naudoti Valstybės ir Savivaldybės biudžeto lėšas Mokyklos darbuotojams skirtus priedus, priemokas mokėti iš atitinkančioms funkcijoms vykdyti skirtų finansavimo šaltinių</w:t>
            </w:r>
          </w:p>
        </w:tc>
        <w:tc>
          <w:tcPr>
            <w:tcW w:w="1494" w:type="dxa"/>
          </w:tcPr>
          <w:p w:rsidR="00B738C0" w:rsidRPr="00D16011" w:rsidRDefault="00B738C0" w:rsidP="00B738C0">
            <w:pPr>
              <w:spacing w:line="276" w:lineRule="auto"/>
              <w:ind w:firstLine="0"/>
              <w:jc w:val="left"/>
              <w:rPr>
                <w:rFonts w:eastAsia="TimesNewRomanPSMT"/>
                <w:sz w:val="20"/>
              </w:rPr>
            </w:pPr>
            <w:r w:rsidRPr="00D16011">
              <w:rPr>
                <w:rFonts w:eastAsia="TimesNewRomanPSMT"/>
                <w:sz w:val="20"/>
              </w:rPr>
              <w:t xml:space="preserve">Plungės Senamiesčio mokyklos </w:t>
            </w:r>
            <w:r>
              <w:rPr>
                <w:rFonts w:eastAsia="TimesNewRomanPSMT"/>
                <w:sz w:val="20"/>
              </w:rPr>
              <w:t>direktoriui</w:t>
            </w:r>
          </w:p>
        </w:tc>
        <w:tc>
          <w:tcPr>
            <w:tcW w:w="5877" w:type="dxa"/>
          </w:tcPr>
          <w:p w:rsidR="00B738C0" w:rsidRPr="00C220E8" w:rsidRDefault="00B738C0" w:rsidP="00B738C0">
            <w:pPr>
              <w:ind w:firstLine="0"/>
              <w:rPr>
                <w:sz w:val="22"/>
                <w:szCs w:val="22"/>
              </w:rPr>
            </w:pPr>
            <w:r>
              <w:rPr>
                <w:sz w:val="22"/>
                <w:szCs w:val="22"/>
              </w:rPr>
              <w:t>Rekomendacijų įgyvendinimo planą pildo nurodyti subjektai</w:t>
            </w:r>
          </w:p>
        </w:tc>
        <w:tc>
          <w:tcPr>
            <w:tcW w:w="2552" w:type="dxa"/>
          </w:tcPr>
          <w:p w:rsidR="00B738C0" w:rsidRPr="00C220E8" w:rsidRDefault="00B738C0" w:rsidP="00B738C0">
            <w:pPr>
              <w:ind w:firstLine="0"/>
              <w:rPr>
                <w:sz w:val="22"/>
                <w:szCs w:val="22"/>
              </w:rPr>
            </w:pPr>
          </w:p>
        </w:tc>
      </w:tr>
      <w:tr w:rsidR="00B738C0" w:rsidRPr="00C220E8" w:rsidTr="00691065">
        <w:tc>
          <w:tcPr>
            <w:tcW w:w="521" w:type="dxa"/>
            <w:vMerge/>
          </w:tcPr>
          <w:p w:rsidR="00B738C0" w:rsidRDefault="00B738C0" w:rsidP="00B738C0">
            <w:pPr>
              <w:ind w:firstLine="0"/>
              <w:jc w:val="left"/>
              <w:rPr>
                <w:sz w:val="20"/>
              </w:rPr>
            </w:pPr>
          </w:p>
        </w:tc>
        <w:tc>
          <w:tcPr>
            <w:tcW w:w="4152" w:type="dxa"/>
            <w:vMerge/>
          </w:tcPr>
          <w:p w:rsidR="00B738C0" w:rsidRPr="00D16011" w:rsidRDefault="00B738C0" w:rsidP="00B738C0">
            <w:pPr>
              <w:ind w:firstLine="0"/>
              <w:rPr>
                <w:sz w:val="22"/>
                <w:szCs w:val="22"/>
              </w:rPr>
            </w:pPr>
          </w:p>
        </w:tc>
        <w:tc>
          <w:tcPr>
            <w:tcW w:w="1494" w:type="dxa"/>
          </w:tcPr>
          <w:p w:rsidR="00B738C0" w:rsidRPr="00D16011" w:rsidRDefault="00B738C0" w:rsidP="00B738C0">
            <w:pPr>
              <w:spacing w:line="276" w:lineRule="auto"/>
              <w:ind w:firstLine="0"/>
              <w:jc w:val="left"/>
              <w:rPr>
                <w:rFonts w:eastAsia="TimesNewRomanPSMT"/>
                <w:sz w:val="20"/>
              </w:rPr>
            </w:pPr>
            <w:r w:rsidRPr="00D16011">
              <w:rPr>
                <w:rFonts w:eastAsia="TimesNewRomanPSMT"/>
                <w:sz w:val="20"/>
              </w:rPr>
              <w:t>Plungės „Ryto“ pagrindinės mokyklos direktor</w:t>
            </w:r>
            <w:r>
              <w:rPr>
                <w:rFonts w:eastAsia="TimesNewRomanPSMT"/>
                <w:sz w:val="20"/>
              </w:rPr>
              <w:t>iui</w:t>
            </w:r>
          </w:p>
        </w:tc>
        <w:tc>
          <w:tcPr>
            <w:tcW w:w="5877" w:type="dxa"/>
          </w:tcPr>
          <w:p w:rsidR="00B738C0" w:rsidRPr="00C220E8" w:rsidRDefault="00B738C0" w:rsidP="00B738C0">
            <w:pPr>
              <w:ind w:firstLine="0"/>
              <w:rPr>
                <w:sz w:val="22"/>
                <w:szCs w:val="22"/>
              </w:rPr>
            </w:pPr>
            <w:r w:rsidRPr="00A34B7C">
              <w:rPr>
                <w:sz w:val="22"/>
                <w:szCs w:val="22"/>
              </w:rPr>
              <w:t>Rekomendacijų įgyvendinimo planą pildo nurodyti subjektai</w:t>
            </w:r>
          </w:p>
        </w:tc>
        <w:tc>
          <w:tcPr>
            <w:tcW w:w="2552" w:type="dxa"/>
          </w:tcPr>
          <w:p w:rsidR="00B738C0" w:rsidRPr="00C220E8" w:rsidRDefault="00B738C0" w:rsidP="00B738C0">
            <w:pPr>
              <w:ind w:firstLine="0"/>
              <w:rPr>
                <w:sz w:val="22"/>
                <w:szCs w:val="22"/>
              </w:rPr>
            </w:pPr>
          </w:p>
        </w:tc>
      </w:tr>
    </w:tbl>
    <w:p w:rsidR="00CF1B20" w:rsidRDefault="00CF1B20"/>
    <w:sectPr w:rsidR="00CF1B20" w:rsidSect="006700DD">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E73"/>
    <w:rsid w:val="002B7BAD"/>
    <w:rsid w:val="003324C5"/>
    <w:rsid w:val="00417FAF"/>
    <w:rsid w:val="006700DD"/>
    <w:rsid w:val="00691065"/>
    <w:rsid w:val="00827E0C"/>
    <w:rsid w:val="008A1CAF"/>
    <w:rsid w:val="00950C25"/>
    <w:rsid w:val="00A14E73"/>
    <w:rsid w:val="00B738C0"/>
    <w:rsid w:val="00C1709F"/>
    <w:rsid w:val="00CF1B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959A1"/>
  <w15:chartTrackingRefBased/>
  <w15:docId w15:val="{46E464E6-969F-407F-8CC6-0EE2D78F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14E73"/>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A14E7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A14E73"/>
    <w:pPr>
      <w:suppressAutoHyphens/>
      <w:autoSpaceDN w:val="0"/>
      <w:spacing w:line="360" w:lineRule="auto"/>
      <w:ind w:firstLine="0"/>
      <w:textAlignment w:val="baseline"/>
    </w:pPr>
    <w:rPr>
      <w:rFonts w:eastAsia="Calibri"/>
      <w:szCs w:val="24"/>
    </w:rPr>
  </w:style>
  <w:style w:type="character" w:customStyle="1" w:styleId="PagrindinistekstasDiagrama">
    <w:name w:val="Pagrindinis tekstas Diagrama"/>
    <w:basedOn w:val="Numatytasispastraiposriftas"/>
    <w:link w:val="Pagrindinistekstas"/>
    <w:rsid w:val="00A14E73"/>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70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2527</Words>
  <Characters>1441</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Šumskienė</dc:creator>
  <cp:keywords/>
  <dc:description/>
  <cp:lastModifiedBy>Jovita Šumskienė</cp:lastModifiedBy>
  <cp:revision>5</cp:revision>
  <dcterms:created xsi:type="dcterms:W3CDTF">2024-05-30T11:54:00Z</dcterms:created>
  <dcterms:modified xsi:type="dcterms:W3CDTF">2024-09-11T05:00:00Z</dcterms:modified>
</cp:coreProperties>
</file>