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0C3" w:rsidRDefault="00CF60C3" w:rsidP="00CF60C3">
      <w:pPr>
        <w:ind w:left="6237" w:firstLine="243"/>
        <w:rPr>
          <w:b/>
        </w:rPr>
      </w:pPr>
      <w:r>
        <w:rPr>
          <w:noProof/>
        </w:rPr>
        <w:t xml:space="preserve">                                                               </w:t>
      </w:r>
      <w:r w:rsidRPr="00591DB5">
        <w:rPr>
          <w:b/>
        </w:rPr>
        <w:t>Projekto</w:t>
      </w:r>
      <w:r>
        <w:rPr>
          <w:b/>
        </w:rPr>
        <w:t xml:space="preserve"> </w:t>
      </w:r>
      <w:r w:rsidRPr="00591DB5">
        <w:rPr>
          <w:b/>
        </w:rPr>
        <w:t xml:space="preserve">lyginamasis </w:t>
      </w:r>
    </w:p>
    <w:p w:rsidR="00CF60C3" w:rsidRDefault="00CF60C3" w:rsidP="00CF60C3">
      <w:pPr>
        <w:rPr>
          <w:b/>
        </w:rPr>
      </w:pPr>
      <w:r>
        <w:rPr>
          <w:b/>
        </w:rPr>
        <w:t xml:space="preserve">                                                                                                        </w:t>
      </w:r>
      <w:r w:rsidRPr="00591DB5">
        <w:rPr>
          <w:b/>
        </w:rPr>
        <w:t>variantas</w:t>
      </w:r>
    </w:p>
    <w:p w:rsidR="00F54542" w:rsidRDefault="003B4FCA" w:rsidP="00D71510">
      <w:pPr>
        <w:jc w:val="center"/>
        <w:rPr>
          <w:b/>
          <w:sz w:val="28"/>
          <w:szCs w:val="28"/>
        </w:rPr>
      </w:pPr>
      <w:r>
        <w:rPr>
          <w:noProof/>
        </w:rPr>
        <w:t xml:space="preserve"> </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 xml:space="preserve">2023 m. </w:t>
      </w:r>
      <w:r w:rsidR="00011D3C">
        <w:t xml:space="preserve">lapkričio </w:t>
      </w:r>
      <w:r w:rsidR="00D8188C">
        <w:t>30</w:t>
      </w:r>
      <w:r w:rsidR="00BC631E">
        <w:t xml:space="preserve"> </w:t>
      </w:r>
      <w:r>
        <w:t>d. Nr. T1-</w:t>
      </w:r>
      <w:r w:rsidR="00892FF2">
        <w:t>305</w:t>
      </w:r>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6 straipsnio </w:t>
      </w:r>
      <w:r w:rsidR="001D1A01">
        <w:t>13</w:t>
      </w:r>
      <w:r w:rsidRPr="00064D6A">
        <w:t xml:space="preserve"> ir </w:t>
      </w:r>
      <w:r w:rsidR="001D1A01" w:rsidRPr="00CF60C3">
        <w:rPr>
          <w:strike/>
          <w:highlight w:val="yellow"/>
        </w:rPr>
        <w:t>24</w:t>
      </w:r>
      <w:bookmarkStart w:id="0" w:name="_GoBack"/>
      <w:bookmarkEnd w:id="0"/>
      <w:r w:rsidR="001D1A01" w:rsidRPr="00DA62C2">
        <w:rPr>
          <w:strike/>
        </w:rPr>
        <w:t xml:space="preserve"> </w:t>
      </w:r>
      <w:r w:rsidRPr="007D2CF4">
        <w:t>punktais, Lietuvos</w:t>
      </w:r>
      <w:r w:rsidRPr="00064D6A">
        <w:t xml:space="preserve"> Respublikos valstybės ir savivaldybių turto valdymo, naudojimo ir disponavimo juo įstatymo 6 straipsnio 2 punktu ir 20 straipsnio 1 </w:t>
      </w:r>
      <w:r w:rsidRPr="00D20C87">
        <w:t xml:space="preserve">dalies 4 punktu </w:t>
      </w:r>
      <w:r w:rsidR="00226270" w:rsidRPr="00D20C87">
        <w:t xml:space="preserve">bei atsižvelgdama į </w:t>
      </w:r>
      <w:r w:rsidR="0051145E">
        <w:t xml:space="preserve">Šiaulių apskrities Povilo Višinskio viešosios </w:t>
      </w:r>
      <w:r w:rsidR="00226270" w:rsidRPr="00F72638">
        <w:t xml:space="preserve">bibliotekos 2023 m. </w:t>
      </w:r>
      <w:r w:rsidR="0051145E">
        <w:t>spalio 31</w:t>
      </w:r>
      <w:r w:rsidR="00226270" w:rsidRPr="00F72638">
        <w:t xml:space="preserve"> d. raštą</w:t>
      </w:r>
      <w:r w:rsidR="00226270" w:rsidRPr="00226270">
        <w:t xml:space="preserve"> Nr. </w:t>
      </w:r>
      <w:r w:rsidR="0051145E" w:rsidRPr="0051145E">
        <w:t xml:space="preserve">S9-250 </w:t>
      </w:r>
      <w:r w:rsidR="0051145E">
        <w:t>„Dėl turto per</w:t>
      </w:r>
      <w:r w:rsidR="00D8188C">
        <w:t>d</w:t>
      </w:r>
      <w:r w:rsidR="0051145E">
        <w:t>avimo“</w:t>
      </w:r>
      <w:r w:rsidR="00D8188C">
        <w:t>,</w:t>
      </w:r>
      <w:r w:rsidR="0051145E">
        <w:t xml:space="preserve">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E57566" w:rsidRDefault="007148D1" w:rsidP="00D354E2">
      <w:pPr>
        <w:ind w:firstLine="720"/>
        <w:jc w:val="both"/>
      </w:pPr>
      <w:r>
        <w:t xml:space="preserve">1. </w:t>
      </w:r>
      <w:r w:rsidR="00D354E2">
        <w:t>Sutikti perimti Plungės rajono savivaldybės nuosavybėn savarankiškosioms savivaldybės funkcijoms (</w:t>
      </w:r>
      <w:r w:rsidR="00625AEC" w:rsidRPr="00625AEC">
        <w:t>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625AEC">
        <w:t xml:space="preserve">)) </w:t>
      </w:r>
      <w:r w:rsidR="00D354E2">
        <w:t xml:space="preserve">įgyvendinti valstybei nuosavybės teise priklausantį ir </w:t>
      </w:r>
      <w:r w:rsidR="00D354E2" w:rsidRPr="00D20C87">
        <w:t xml:space="preserve">šiuo metu </w:t>
      </w:r>
      <w:r w:rsidR="00625AEC" w:rsidRPr="00625AEC">
        <w:t xml:space="preserve">Šiaulių apskrities Povilo Višinskio viešosios bibliotekos </w:t>
      </w:r>
      <w:r w:rsidR="00D354E2">
        <w:t>patikėjimo teise valdomą turtą</w:t>
      </w:r>
      <w:r w:rsidR="00E57566">
        <w:t>.</w:t>
      </w:r>
      <w:r w:rsidR="00D354E2">
        <w:t xml:space="preserve"> </w:t>
      </w:r>
    </w:p>
    <w:p w:rsidR="00E57566" w:rsidRPr="00E57566" w:rsidRDefault="00E57566" w:rsidP="00D354E2">
      <w:pPr>
        <w:ind w:firstLine="720"/>
        <w:jc w:val="both"/>
        <w:rPr>
          <w:b/>
        </w:rPr>
      </w:pPr>
      <w:r w:rsidRPr="00FB039F">
        <w:rPr>
          <w:b/>
        </w:rPr>
        <w:t>Ilgalaikis materialusis turtas: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9"/>
        <w:gridCol w:w="2267"/>
        <w:gridCol w:w="1238"/>
        <w:gridCol w:w="880"/>
        <w:gridCol w:w="1242"/>
        <w:gridCol w:w="1180"/>
        <w:gridCol w:w="1261"/>
        <w:gridCol w:w="1097"/>
      </w:tblGrid>
      <w:tr w:rsidR="003E4EF0" w:rsidRPr="00C10C4D" w:rsidTr="003E4EF0">
        <w:trPr>
          <w:trHeight w:val="755"/>
        </w:trPr>
        <w:tc>
          <w:tcPr>
            <w:tcW w:w="254" w:type="pct"/>
            <w:shd w:val="clear" w:color="auto" w:fill="auto"/>
          </w:tcPr>
          <w:p w:rsidR="003E4EF0" w:rsidRPr="00435556" w:rsidRDefault="003E4EF0" w:rsidP="00E558FF">
            <w:pPr>
              <w:widowControl w:val="0"/>
              <w:autoSpaceDE w:val="0"/>
              <w:autoSpaceDN w:val="0"/>
              <w:rPr>
                <w:lang w:val="lt" w:eastAsia="lt"/>
              </w:rPr>
            </w:pPr>
          </w:p>
          <w:p w:rsidR="003E4EF0" w:rsidRPr="00435556" w:rsidRDefault="003E4EF0" w:rsidP="00E558FF">
            <w:pPr>
              <w:widowControl w:val="0"/>
              <w:autoSpaceDE w:val="0"/>
              <w:autoSpaceDN w:val="0"/>
              <w:rPr>
                <w:lang w:val="lt" w:eastAsia="lt"/>
              </w:rPr>
            </w:pPr>
            <w:r w:rsidRPr="00435556">
              <w:rPr>
                <w:lang w:val="lt" w:eastAsia="lt"/>
              </w:rPr>
              <w:t>Eil.</w:t>
            </w:r>
          </w:p>
          <w:p w:rsidR="003E4EF0" w:rsidRPr="00435556" w:rsidRDefault="003E4EF0" w:rsidP="00E558FF">
            <w:pPr>
              <w:widowControl w:val="0"/>
              <w:autoSpaceDE w:val="0"/>
              <w:autoSpaceDN w:val="0"/>
              <w:rPr>
                <w:lang w:val="lt" w:eastAsia="lt"/>
              </w:rPr>
            </w:pPr>
            <w:r w:rsidRPr="00435556">
              <w:rPr>
                <w:lang w:val="lt" w:eastAsia="lt"/>
              </w:rPr>
              <w:t>N</w:t>
            </w:r>
            <w:r w:rsidRPr="00435556">
              <w:rPr>
                <w:spacing w:val="-33"/>
                <w:lang w:val="lt" w:eastAsia="lt"/>
              </w:rPr>
              <w:t xml:space="preserve"> </w:t>
            </w:r>
            <w:r w:rsidRPr="00435556">
              <w:rPr>
                <w:lang w:val="lt" w:eastAsia="lt"/>
              </w:rPr>
              <w:t>r.</w:t>
            </w:r>
          </w:p>
        </w:tc>
        <w:tc>
          <w:tcPr>
            <w:tcW w:w="1174" w:type="pct"/>
            <w:tcBorders>
              <w:righ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Perduodamo turto pavadinimas</w:t>
            </w:r>
          </w:p>
        </w:tc>
        <w:tc>
          <w:tcPr>
            <w:tcW w:w="641" w:type="pct"/>
            <w:tcBorders>
              <w:lef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Inventorinis Nr.</w:t>
            </w:r>
          </w:p>
        </w:tc>
        <w:tc>
          <w:tcPr>
            <w:tcW w:w="456" w:type="pct"/>
            <w:shd w:val="clear" w:color="auto" w:fill="auto"/>
            <w:vAlign w:val="center"/>
          </w:tcPr>
          <w:p w:rsidR="003E4EF0" w:rsidRPr="00435556" w:rsidRDefault="003E4EF0" w:rsidP="00D20C87">
            <w:pPr>
              <w:widowControl w:val="0"/>
              <w:autoSpaceDE w:val="0"/>
              <w:autoSpaceDN w:val="0"/>
              <w:jc w:val="center"/>
              <w:rPr>
                <w:lang w:val="lt" w:eastAsia="lt"/>
              </w:rPr>
            </w:pPr>
            <w:r w:rsidRPr="00435556">
              <w:rPr>
                <w:lang w:val="lt" w:eastAsia="lt"/>
              </w:rPr>
              <w:t>Kiekis,</w:t>
            </w:r>
          </w:p>
          <w:p w:rsidR="003E4EF0" w:rsidRPr="00435556" w:rsidRDefault="003E4EF0">
            <w:pPr>
              <w:widowControl w:val="0"/>
              <w:autoSpaceDE w:val="0"/>
              <w:autoSpaceDN w:val="0"/>
              <w:jc w:val="center"/>
              <w:rPr>
                <w:lang w:val="lt" w:eastAsia="lt"/>
              </w:rPr>
            </w:pPr>
            <w:r w:rsidRPr="00435556">
              <w:rPr>
                <w:lang w:val="lt" w:eastAsia="lt"/>
              </w:rPr>
              <w:t>vnt.</w:t>
            </w:r>
          </w:p>
        </w:tc>
        <w:tc>
          <w:tcPr>
            <w:tcW w:w="643" w:type="pct"/>
            <w:tcBorders>
              <w:righ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įsigijo vertė, Eur</w:t>
            </w:r>
          </w:p>
        </w:tc>
        <w:tc>
          <w:tcPr>
            <w:tcW w:w="611" w:type="pct"/>
            <w:tcBorders>
              <w:lef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likutinė vertė</w:t>
            </w:r>
            <w:r w:rsidRPr="00D20C87">
              <w:rPr>
                <w:rFonts w:eastAsia="Cambria"/>
                <w:lang w:val="lt" w:eastAsia="lt"/>
              </w:rPr>
              <w:t>, E</w:t>
            </w:r>
            <w:r w:rsidRPr="00435556">
              <w:rPr>
                <w:rFonts w:eastAsia="Cambria"/>
                <w:lang w:val="lt" w:eastAsia="lt"/>
              </w:rPr>
              <w:t>ur</w:t>
            </w:r>
          </w:p>
        </w:tc>
        <w:tc>
          <w:tcPr>
            <w:tcW w:w="653" w:type="pct"/>
            <w:tcBorders>
              <w:bottom w:val="single" w:sz="6" w:space="0" w:color="000000"/>
              <w:right w:val="single" w:sz="4" w:space="0" w:color="auto"/>
            </w:tcBorders>
            <w:shd w:val="clear" w:color="auto" w:fill="auto"/>
            <w:vAlign w:val="center"/>
          </w:tcPr>
          <w:p w:rsidR="003E4EF0" w:rsidRPr="003E4EF0" w:rsidRDefault="003E4EF0">
            <w:pPr>
              <w:widowControl w:val="0"/>
              <w:autoSpaceDE w:val="0"/>
              <w:autoSpaceDN w:val="0"/>
              <w:jc w:val="center"/>
              <w:rPr>
                <w:lang w:eastAsia="lt"/>
              </w:rPr>
            </w:pPr>
            <w:r>
              <w:rPr>
                <w:lang w:val="lt" w:eastAsia="lt"/>
              </w:rPr>
              <w:t xml:space="preserve">Finansavimo </w:t>
            </w:r>
            <w:r>
              <w:rPr>
                <w:lang w:eastAsia="lt"/>
              </w:rPr>
              <w:t>šaltinis</w:t>
            </w:r>
          </w:p>
        </w:tc>
        <w:tc>
          <w:tcPr>
            <w:tcW w:w="568" w:type="pct"/>
            <w:tcBorders>
              <w:left w:val="single" w:sz="4" w:space="0" w:color="auto"/>
            </w:tcBorders>
            <w:shd w:val="clear" w:color="auto" w:fill="auto"/>
            <w:vAlign w:val="center"/>
          </w:tcPr>
          <w:p w:rsidR="003E4EF0" w:rsidRDefault="003E4EF0">
            <w:pPr>
              <w:widowControl w:val="0"/>
              <w:autoSpaceDE w:val="0"/>
              <w:autoSpaceDN w:val="0"/>
              <w:jc w:val="center"/>
              <w:rPr>
                <w:lang w:eastAsia="lt"/>
              </w:rPr>
            </w:pPr>
            <w:r>
              <w:rPr>
                <w:lang w:eastAsia="lt"/>
              </w:rPr>
              <w:t>Balansinė</w:t>
            </w:r>
          </w:p>
          <w:p w:rsidR="003E4EF0" w:rsidRPr="003E4EF0" w:rsidRDefault="003E4EF0">
            <w:pPr>
              <w:widowControl w:val="0"/>
              <w:autoSpaceDE w:val="0"/>
              <w:autoSpaceDN w:val="0"/>
              <w:jc w:val="center"/>
              <w:rPr>
                <w:lang w:eastAsia="lt"/>
              </w:rPr>
            </w:pPr>
            <w:r>
              <w:rPr>
                <w:lang w:eastAsia="lt"/>
              </w:rPr>
              <w:t>sąskaita</w:t>
            </w:r>
          </w:p>
        </w:tc>
      </w:tr>
      <w:tr w:rsidR="003E4EF0" w:rsidRPr="00C10C4D" w:rsidTr="003E4EF0">
        <w:trPr>
          <w:trHeight w:val="294"/>
        </w:trPr>
        <w:tc>
          <w:tcPr>
            <w:tcW w:w="254" w:type="pct"/>
            <w:tcBorders>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sidRPr="00435556">
              <w:rPr>
                <w:lang w:val="lt" w:eastAsia="lt"/>
              </w:rPr>
              <w:t>1.</w:t>
            </w:r>
          </w:p>
        </w:tc>
        <w:tc>
          <w:tcPr>
            <w:tcW w:w="1174" w:type="pct"/>
            <w:tcBorders>
              <w:top w:val="nil"/>
              <w:left w:val="single" w:sz="4" w:space="0" w:color="auto"/>
              <w:bottom w:val="single" w:sz="4" w:space="0" w:color="auto"/>
              <w:right w:val="single" w:sz="4" w:space="0" w:color="auto"/>
            </w:tcBorders>
            <w:shd w:val="clear" w:color="auto" w:fill="auto"/>
            <w:vAlign w:val="center"/>
          </w:tcPr>
          <w:p w:rsidR="003E4EF0" w:rsidRDefault="003E4EF0" w:rsidP="004A7B8F">
            <w:pPr>
              <w:widowControl w:val="0"/>
              <w:autoSpaceDE w:val="0"/>
              <w:autoSpaceDN w:val="0"/>
              <w:jc w:val="center"/>
              <w:rPr>
                <w:rFonts w:eastAsia="Cambria"/>
                <w:lang w:val="lt" w:eastAsia="lt"/>
              </w:rPr>
            </w:pPr>
            <w:proofErr w:type="spellStart"/>
            <w:r>
              <w:rPr>
                <w:rFonts w:eastAsia="Cambria"/>
                <w:lang w:val="lt" w:eastAsia="lt"/>
              </w:rPr>
              <w:t>Paštomatas</w:t>
            </w:r>
            <w:proofErr w:type="spellEnd"/>
          </w:p>
          <w:p w:rsidR="003E4EF0" w:rsidRPr="00D86F0D" w:rsidRDefault="003E4EF0" w:rsidP="004A7B8F">
            <w:pPr>
              <w:widowControl w:val="0"/>
              <w:autoSpaceDE w:val="0"/>
              <w:autoSpaceDN w:val="0"/>
              <w:jc w:val="center"/>
              <w:rPr>
                <w:rFonts w:eastAsia="Cambria"/>
                <w:lang w:val="en-US" w:eastAsia="lt"/>
              </w:rPr>
            </w:pPr>
            <w:r>
              <w:rPr>
                <w:rFonts w:eastAsia="Cambria"/>
                <w:lang w:val="lt" w:eastAsia="lt"/>
              </w:rPr>
              <w:t>RAL</w:t>
            </w:r>
            <w:r>
              <w:rPr>
                <w:rFonts w:eastAsia="Cambria"/>
                <w:lang w:val="en-US" w:eastAsia="lt"/>
              </w:rPr>
              <w:t>7038</w:t>
            </w:r>
          </w:p>
        </w:tc>
        <w:tc>
          <w:tcPr>
            <w:tcW w:w="641" w:type="pct"/>
            <w:tcBorders>
              <w:top w:val="nil"/>
              <w:left w:val="single" w:sz="4" w:space="0" w:color="auto"/>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spacing w:line="196" w:lineRule="exact"/>
              <w:rPr>
                <w:rFonts w:eastAsia="Cambria"/>
                <w:lang w:val="lt" w:eastAsia="lt"/>
              </w:rPr>
            </w:pPr>
            <w:r>
              <w:rPr>
                <w:rFonts w:eastAsia="Cambria"/>
                <w:lang w:val="lt" w:eastAsia="lt"/>
              </w:rPr>
              <w:t>IT-001530</w:t>
            </w:r>
          </w:p>
        </w:tc>
        <w:tc>
          <w:tcPr>
            <w:tcW w:w="456" w:type="pct"/>
            <w:tcBorders>
              <w:left w:val="single" w:sz="4" w:space="0" w:color="auto"/>
            </w:tcBorders>
            <w:shd w:val="clear" w:color="auto" w:fill="auto"/>
            <w:vAlign w:val="center"/>
          </w:tcPr>
          <w:p w:rsidR="003E4EF0" w:rsidRPr="00435556" w:rsidRDefault="003E4EF0" w:rsidP="00E558FF">
            <w:pPr>
              <w:widowControl w:val="0"/>
              <w:autoSpaceDE w:val="0"/>
              <w:autoSpaceDN w:val="0"/>
              <w:spacing w:line="204" w:lineRule="exact"/>
              <w:ind w:left="37"/>
              <w:jc w:val="center"/>
              <w:rPr>
                <w:rFonts w:eastAsia="Cambria"/>
                <w:lang w:val="lt" w:eastAsia="lt"/>
              </w:rPr>
            </w:pPr>
            <w:r>
              <w:rPr>
                <w:rFonts w:eastAsia="Cambria"/>
                <w:lang w:val="lt" w:eastAsia="lt"/>
              </w:rPr>
              <w:t>1</w:t>
            </w:r>
          </w:p>
        </w:tc>
        <w:tc>
          <w:tcPr>
            <w:tcW w:w="643" w:type="pct"/>
            <w:tcBorders>
              <w:righ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11" w:type="pct"/>
            <w:tcBorders>
              <w:lef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53" w:type="pct"/>
            <w:tcBorders>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Pr>
                <w:lang w:val="lt" w:eastAsia="lt"/>
              </w:rPr>
              <w:t xml:space="preserve">Valstybės biudžeto lėšos </w:t>
            </w:r>
          </w:p>
        </w:tc>
        <w:tc>
          <w:tcPr>
            <w:tcW w:w="568" w:type="pct"/>
            <w:tcBorders>
              <w:left w:val="single" w:sz="4" w:space="0" w:color="auto"/>
            </w:tcBorders>
            <w:shd w:val="clear" w:color="auto" w:fill="auto"/>
            <w:vAlign w:val="center"/>
          </w:tcPr>
          <w:p w:rsidR="003E4EF0" w:rsidRPr="003E4EF0" w:rsidRDefault="003E4EF0" w:rsidP="00E558FF">
            <w:pPr>
              <w:widowControl w:val="0"/>
              <w:autoSpaceDE w:val="0"/>
              <w:autoSpaceDN w:val="0"/>
              <w:jc w:val="center"/>
              <w:rPr>
                <w:lang w:eastAsia="lt"/>
              </w:rPr>
            </w:pPr>
            <w:r>
              <w:rPr>
                <w:lang w:val="lt" w:eastAsia="lt"/>
              </w:rPr>
              <w:t xml:space="preserve">1205404 (Kitos </w:t>
            </w:r>
            <w:r w:rsidRPr="003E4EF0">
              <w:rPr>
                <w:lang w:eastAsia="lt"/>
              </w:rPr>
              <w:t>mašinos</w:t>
            </w:r>
            <w:r>
              <w:rPr>
                <w:lang w:eastAsia="lt"/>
              </w:rPr>
              <w:t xml:space="preserve"> ir įrengimai) </w:t>
            </w:r>
          </w:p>
        </w:tc>
      </w:tr>
    </w:tbl>
    <w:p w:rsidR="00D354E2" w:rsidRDefault="007148D1">
      <w:pPr>
        <w:ind w:firstLine="720"/>
        <w:jc w:val="both"/>
      </w:pPr>
      <w:r>
        <w:t>2.</w:t>
      </w:r>
      <w:r w:rsidR="00D354E2">
        <w:t xml:space="preserve"> Perėmus sprendimo 1 </w:t>
      </w:r>
      <w:r w:rsidR="00D354E2" w:rsidRPr="00FB039F">
        <w:t>punkte nurodytą turtą ir</w:t>
      </w:r>
      <w:r w:rsidR="00D354E2">
        <w:t xml:space="preserve"> įtraukus į Savivaldybės administracijos turto apskaitą, perduoti jį valdyti, naudoti ir disponuoti juo patikėjimo teise Plungės rajono savivaldybės viešajai bibliotekai. </w:t>
      </w:r>
    </w:p>
    <w:p w:rsidR="003E4EF0" w:rsidRDefault="007148D1">
      <w:pPr>
        <w:ind w:firstLine="720"/>
        <w:jc w:val="both"/>
      </w:pPr>
      <w:r>
        <w:t>3.</w:t>
      </w:r>
      <w:r w:rsidR="00D354E2">
        <w:t xml:space="preserve"> Nustatyti, kad </w:t>
      </w:r>
      <w:r w:rsidR="00D354E2" w:rsidRPr="00FB039F">
        <w:t>sprendimo 1 punkte nurodytas turtas privalo būti naudojamas</w:t>
      </w:r>
      <w:r w:rsidR="00D354E2">
        <w:t xml:space="preserve"> tik Plungės rajono savivaldybės viešosios </w:t>
      </w:r>
      <w:r w:rsidR="00D354E2" w:rsidRPr="00FB039F">
        <w:t>bibliotekos veiklai</w:t>
      </w:r>
      <w:r w:rsidR="00FB039F" w:rsidRPr="004A7B8F">
        <w:t>,</w:t>
      </w:r>
      <w:r w:rsidR="00D354E2" w:rsidRPr="00FB039F">
        <w:t xml:space="preserve"> plėtojant </w:t>
      </w:r>
      <w:r w:rsidR="003E4EF0" w:rsidRPr="00FB039F">
        <w:t>gyventojų</w:t>
      </w:r>
      <w:r w:rsidR="003E4EF0" w:rsidRPr="00082853">
        <w:t xml:space="preserve"> bendrosios</w:t>
      </w:r>
      <w:r w:rsidR="003E4EF0" w:rsidRPr="003E4EF0">
        <w:t xml:space="preserve"> kultūros ugdym</w:t>
      </w:r>
      <w:r w:rsidR="003E4EF0">
        <w:t>ą</w:t>
      </w:r>
      <w:r w:rsidR="003E4EF0" w:rsidRPr="003E4EF0">
        <w:t xml:space="preserve"> ir etnokultūros puoselėjim</w:t>
      </w:r>
      <w:r w:rsidR="003E4EF0">
        <w:t>ą.</w:t>
      </w:r>
      <w:r w:rsidR="003E4EF0" w:rsidRPr="003E4EF0">
        <w:t xml:space="preserve"> </w:t>
      </w:r>
    </w:p>
    <w:p w:rsidR="00400058" w:rsidRDefault="00400058">
      <w:pPr>
        <w:ind w:firstLine="720"/>
        <w:jc w:val="both"/>
      </w:pPr>
      <w:r>
        <w:t>4. Įgalioti:</w:t>
      </w:r>
    </w:p>
    <w:p w:rsidR="00400058" w:rsidRDefault="00400058">
      <w:pPr>
        <w:ind w:firstLine="720"/>
        <w:jc w:val="both"/>
      </w:pPr>
      <w:r>
        <w:t>4.1. Plungės rajono savivaldybės merą, o jo nesant –</w:t>
      </w:r>
      <w:r w:rsidR="00D8188C">
        <w:t xml:space="preserve"> jį</w:t>
      </w:r>
      <w:r>
        <w:t xml:space="preserve"> pavaduojantį asmenį</w:t>
      </w:r>
      <w:r w:rsidR="007D2CF4">
        <w:t>,</w:t>
      </w:r>
      <w:r>
        <w:t xml:space="preserve"> Savivaldybės vardu pasirašyti sprendimo </w:t>
      </w:r>
      <w:r w:rsidR="007D2CF4">
        <w:t xml:space="preserve">1 </w:t>
      </w:r>
      <w:r w:rsidRPr="00FB039F">
        <w:t>punkte nurodyto turto priėmimo ir perdavimo</w:t>
      </w:r>
      <w:r>
        <w:t xml:space="preserve"> aktus;</w:t>
      </w:r>
    </w:p>
    <w:p w:rsidR="001D04F5" w:rsidRPr="00064D6A" w:rsidRDefault="00400058">
      <w:pPr>
        <w:ind w:firstLine="720"/>
        <w:jc w:val="both"/>
      </w:pPr>
      <w:r>
        <w:t xml:space="preserve">4.2. Plungės rajono savivaldybės merą, o jo nesant – </w:t>
      </w:r>
      <w:r w:rsidR="00D8188C">
        <w:t>jį</w:t>
      </w:r>
      <w:r>
        <w:t xml:space="preserve"> </w:t>
      </w:r>
      <w:r w:rsidRPr="00ED553B">
        <w:t>pavaduojantį asmenį bei</w:t>
      </w:r>
      <w:r>
        <w:t xml:space="preserve"> </w:t>
      </w:r>
      <w:r w:rsidR="00D354E2" w:rsidRPr="00D354E2">
        <w:t>Plungės rajono savivaldybės viešosios bibliotekos</w:t>
      </w:r>
      <w:r>
        <w:t xml:space="preserve"> vadovą pasirašyti sprendimo </w:t>
      </w:r>
      <w:r w:rsidR="007D2CF4">
        <w:t xml:space="preserve">2 </w:t>
      </w:r>
      <w:r>
        <w:t>punkte nurodyto turto, perduodamo valdyti ir disponuoti patikėjimo teise, perdavimo ir priėmimo aktus.</w:t>
      </w:r>
    </w:p>
    <w:p w:rsidR="00CA4000" w:rsidRDefault="00CA4000" w:rsidP="004A7B8F">
      <w:pPr>
        <w:ind w:firstLine="720"/>
        <w:jc w:val="both"/>
      </w:pPr>
    </w:p>
    <w:p w:rsidR="00F54542" w:rsidRDefault="00F54542" w:rsidP="00E57566"/>
    <w:p w:rsidR="00D8188C" w:rsidRDefault="00882344" w:rsidP="00B02962">
      <w:r w:rsidRPr="00064D6A">
        <w:lastRenderedPageBreak/>
        <w:t>Savivaldybės meras</w:t>
      </w:r>
      <w:r w:rsidR="00F54542">
        <w:t xml:space="preserve">                                                                               </w:t>
      </w:r>
      <w:r w:rsidR="000A2ED6">
        <w:t xml:space="preserve">   </w:t>
      </w:r>
      <w:r w:rsidR="00F54542">
        <w:t xml:space="preserve">                   Audrius Klišonis</w:t>
      </w:r>
    </w:p>
    <w:sectPr w:rsidR="00D8188C"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D3C"/>
    <w:rsid w:val="00071327"/>
    <w:rsid w:val="00082853"/>
    <w:rsid w:val="000A2ED6"/>
    <w:rsid w:val="000C44E1"/>
    <w:rsid w:val="000C5CA7"/>
    <w:rsid w:val="000C76A8"/>
    <w:rsid w:val="00124398"/>
    <w:rsid w:val="001428BA"/>
    <w:rsid w:val="001748FB"/>
    <w:rsid w:val="00192D89"/>
    <w:rsid w:val="001D04F5"/>
    <w:rsid w:val="001D1A01"/>
    <w:rsid w:val="001D23AE"/>
    <w:rsid w:val="001D74A7"/>
    <w:rsid w:val="001E44C8"/>
    <w:rsid w:val="001E7A56"/>
    <w:rsid w:val="00226270"/>
    <w:rsid w:val="002517E9"/>
    <w:rsid w:val="002769D3"/>
    <w:rsid w:val="002A5B00"/>
    <w:rsid w:val="002E01C5"/>
    <w:rsid w:val="002F5BDB"/>
    <w:rsid w:val="00332799"/>
    <w:rsid w:val="00341AB8"/>
    <w:rsid w:val="00344D98"/>
    <w:rsid w:val="00352E29"/>
    <w:rsid w:val="00365993"/>
    <w:rsid w:val="003A069D"/>
    <w:rsid w:val="003B4FCA"/>
    <w:rsid w:val="003D4C3F"/>
    <w:rsid w:val="003E4EF0"/>
    <w:rsid w:val="00400058"/>
    <w:rsid w:val="00411B74"/>
    <w:rsid w:val="00413220"/>
    <w:rsid w:val="00435556"/>
    <w:rsid w:val="004A7B8F"/>
    <w:rsid w:val="005073E0"/>
    <w:rsid w:val="0051145E"/>
    <w:rsid w:val="005205E2"/>
    <w:rsid w:val="005520BF"/>
    <w:rsid w:val="00556615"/>
    <w:rsid w:val="0055740E"/>
    <w:rsid w:val="0056590E"/>
    <w:rsid w:val="00570DA5"/>
    <w:rsid w:val="00570DCD"/>
    <w:rsid w:val="005B2DA3"/>
    <w:rsid w:val="005C3C86"/>
    <w:rsid w:val="00625AEC"/>
    <w:rsid w:val="00660AB8"/>
    <w:rsid w:val="00694D21"/>
    <w:rsid w:val="006C2AB1"/>
    <w:rsid w:val="006C4DFA"/>
    <w:rsid w:val="00712151"/>
    <w:rsid w:val="007148D1"/>
    <w:rsid w:val="00731C46"/>
    <w:rsid w:val="007547B5"/>
    <w:rsid w:val="00756663"/>
    <w:rsid w:val="00756C18"/>
    <w:rsid w:val="00760DBF"/>
    <w:rsid w:val="00781480"/>
    <w:rsid w:val="00781E46"/>
    <w:rsid w:val="007902C0"/>
    <w:rsid w:val="007D2CF4"/>
    <w:rsid w:val="007F5133"/>
    <w:rsid w:val="007F6F5C"/>
    <w:rsid w:val="00882344"/>
    <w:rsid w:val="008827B4"/>
    <w:rsid w:val="00892FF2"/>
    <w:rsid w:val="00971C97"/>
    <w:rsid w:val="009A317E"/>
    <w:rsid w:val="009E4CB0"/>
    <w:rsid w:val="00A44C5A"/>
    <w:rsid w:val="00AF4183"/>
    <w:rsid w:val="00B02962"/>
    <w:rsid w:val="00B71C5B"/>
    <w:rsid w:val="00BC631E"/>
    <w:rsid w:val="00BC65E8"/>
    <w:rsid w:val="00BE0DFF"/>
    <w:rsid w:val="00BF6B63"/>
    <w:rsid w:val="00C10C4D"/>
    <w:rsid w:val="00C257F3"/>
    <w:rsid w:val="00C53B51"/>
    <w:rsid w:val="00CA4000"/>
    <w:rsid w:val="00CF60C3"/>
    <w:rsid w:val="00D11ED1"/>
    <w:rsid w:val="00D14265"/>
    <w:rsid w:val="00D20C87"/>
    <w:rsid w:val="00D354E2"/>
    <w:rsid w:val="00D71510"/>
    <w:rsid w:val="00D8188C"/>
    <w:rsid w:val="00D86F0D"/>
    <w:rsid w:val="00DA62C2"/>
    <w:rsid w:val="00DE4B53"/>
    <w:rsid w:val="00E57566"/>
    <w:rsid w:val="00E666B0"/>
    <w:rsid w:val="00E978B1"/>
    <w:rsid w:val="00EA54CD"/>
    <w:rsid w:val="00EA7584"/>
    <w:rsid w:val="00ED553B"/>
    <w:rsid w:val="00EE634D"/>
    <w:rsid w:val="00F07FF5"/>
    <w:rsid w:val="00F54542"/>
    <w:rsid w:val="00F72638"/>
    <w:rsid w:val="00FA71CB"/>
    <w:rsid w:val="00FA7C79"/>
    <w:rsid w:val="00FB039F"/>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FB335"/>
  <w15:docId w15:val="{4C3BCF2A-1D6B-4C4A-AF86-E383AC96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1794</Words>
  <Characters>1024</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Irmantė Kurmienė</cp:lastModifiedBy>
  <cp:revision>4</cp:revision>
  <dcterms:created xsi:type="dcterms:W3CDTF">2024-05-09T09:26:00Z</dcterms:created>
  <dcterms:modified xsi:type="dcterms:W3CDTF">2024-05-16T07:29:00Z</dcterms:modified>
</cp:coreProperties>
</file>