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2FE" w:rsidRDefault="000162FE" w:rsidP="009E3C07">
      <w:pPr>
        <w:ind w:firstLine="0"/>
        <w:jc w:val="center"/>
        <w:rPr>
          <w:b/>
          <w:sz w:val="28"/>
        </w:rPr>
      </w:pPr>
      <w:r>
        <w:rPr>
          <w:noProof/>
          <w:lang w:eastAsia="lt-LT"/>
        </w:rPr>
        <w:drawing>
          <wp:inline distT="0" distB="0" distL="0" distR="0" wp14:anchorId="75902BE8" wp14:editId="6573FE83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162FE" w:rsidRDefault="000162FE" w:rsidP="009E3C07">
      <w:pPr>
        <w:ind w:firstLine="0"/>
        <w:jc w:val="center"/>
        <w:rPr>
          <w:b/>
          <w:sz w:val="28"/>
        </w:rPr>
      </w:pPr>
    </w:p>
    <w:p w:rsidR="008B76F9" w:rsidRDefault="00E47A32" w:rsidP="009E3C07">
      <w:pPr>
        <w:ind w:firstLine="0"/>
        <w:jc w:val="center"/>
        <w:rPr>
          <w:b/>
          <w:sz w:val="28"/>
        </w:rPr>
      </w:pPr>
      <w:r w:rsidRPr="00E47A32">
        <w:rPr>
          <w:b/>
          <w:sz w:val="28"/>
        </w:rPr>
        <w:t>PLUNGĖS RAJONO SAVIVALDYBĖS</w:t>
      </w:r>
    </w:p>
    <w:p w:rsidR="00E47A32" w:rsidRDefault="00E47A32" w:rsidP="009E3C07">
      <w:pPr>
        <w:ind w:firstLine="0"/>
        <w:jc w:val="center"/>
        <w:rPr>
          <w:b/>
          <w:sz w:val="28"/>
        </w:rPr>
      </w:pPr>
      <w:r w:rsidRPr="00E47A32">
        <w:rPr>
          <w:b/>
          <w:sz w:val="28"/>
        </w:rPr>
        <w:t>TARYBA</w:t>
      </w:r>
    </w:p>
    <w:p w:rsidR="00E47A32" w:rsidRPr="00E47A32" w:rsidRDefault="00E47A32" w:rsidP="009E3C07">
      <w:pPr>
        <w:ind w:firstLine="0"/>
        <w:jc w:val="center"/>
        <w:rPr>
          <w:b/>
          <w:sz w:val="28"/>
        </w:rPr>
      </w:pPr>
    </w:p>
    <w:p w:rsidR="00E47A32" w:rsidRPr="001E4CC2" w:rsidRDefault="003C1FB9" w:rsidP="009E3C07">
      <w:pPr>
        <w:ind w:firstLine="0"/>
        <w:jc w:val="center"/>
        <w:rPr>
          <w:b/>
        </w:rPr>
      </w:pPr>
      <w:r>
        <w:rPr>
          <w:rStyle w:val="Komentaronuoroda"/>
          <w:b/>
          <w:sz w:val="28"/>
        </w:rPr>
        <w:t>SPRENDIMAS</w:t>
      </w:r>
      <w:r w:rsidR="0055119F">
        <w:rPr>
          <w:rStyle w:val="Komentaronuoroda"/>
          <w:b/>
          <w:sz w:val="28"/>
        </w:rPr>
        <w:t xml:space="preserve"> </w:t>
      </w:r>
    </w:p>
    <w:p w:rsidR="00DA7A62" w:rsidRPr="00DA7A62" w:rsidRDefault="00DA7A62" w:rsidP="00DA7A62">
      <w:pPr>
        <w:ind w:firstLine="0"/>
        <w:jc w:val="center"/>
      </w:pPr>
      <w:r w:rsidRPr="00DA7A62">
        <w:rPr>
          <w:b/>
          <w:caps/>
          <w:sz w:val="28"/>
          <w:szCs w:val="28"/>
        </w:rPr>
        <w:t>DĖL PLUNGĖS RAJONO SAVIVALDYBĖS TARYBOS 202</w:t>
      </w:r>
      <w:r>
        <w:rPr>
          <w:b/>
          <w:caps/>
          <w:sz w:val="28"/>
          <w:szCs w:val="28"/>
        </w:rPr>
        <w:t>3</w:t>
      </w:r>
      <w:r w:rsidRPr="00DA7A62">
        <w:rPr>
          <w:b/>
          <w:caps/>
          <w:sz w:val="28"/>
          <w:szCs w:val="28"/>
        </w:rPr>
        <w:t xml:space="preserve"> M. </w:t>
      </w:r>
      <w:r>
        <w:rPr>
          <w:b/>
          <w:caps/>
          <w:sz w:val="28"/>
          <w:szCs w:val="28"/>
        </w:rPr>
        <w:t>birželio</w:t>
      </w:r>
      <w:r w:rsidRPr="00DA7A62">
        <w:rPr>
          <w:b/>
          <w:caps/>
          <w:sz w:val="28"/>
          <w:szCs w:val="28"/>
        </w:rPr>
        <w:t xml:space="preserve"> 2</w:t>
      </w:r>
      <w:r>
        <w:rPr>
          <w:b/>
          <w:caps/>
          <w:sz w:val="28"/>
          <w:szCs w:val="28"/>
        </w:rPr>
        <w:t>2 D. SPRENDIMO NR. T1-163</w:t>
      </w:r>
      <w:r w:rsidRPr="00DA7A62">
        <w:rPr>
          <w:b/>
          <w:caps/>
          <w:sz w:val="28"/>
          <w:szCs w:val="28"/>
        </w:rPr>
        <w:t xml:space="preserve"> „DĖL Plungės rajono savivaldybės ŠVIETIMO įstaigų, PLUNGĖS PASLAUGŲ IR ŠVIETIMO PAGALBOS CENTRO pedagoginių PAREIGYBIŲ IR NEPEDAGOGINIŲ PAREIGYBIŲ, FINANSUOJAMŲ IŠ MOKymo LĖŠŲ, DIDŽIAUSIO LEISTINO SKAIČIAUS </w:t>
      </w:r>
      <w:r w:rsidRPr="00DA7A62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3</w:t>
      </w:r>
      <w:r w:rsidRPr="00DA7A62">
        <w:rPr>
          <w:b/>
          <w:sz w:val="28"/>
          <w:szCs w:val="28"/>
        </w:rPr>
        <w:t>–202</w:t>
      </w:r>
      <w:r>
        <w:rPr>
          <w:b/>
          <w:sz w:val="28"/>
          <w:szCs w:val="28"/>
        </w:rPr>
        <w:t>4</w:t>
      </w:r>
      <w:r w:rsidRPr="00DA7A62">
        <w:rPr>
          <w:b/>
          <w:sz w:val="28"/>
          <w:szCs w:val="28"/>
        </w:rPr>
        <w:t xml:space="preserve"> MOKSLO METAMS </w:t>
      </w:r>
      <w:r w:rsidRPr="00242044">
        <w:rPr>
          <w:b/>
          <w:caps/>
          <w:sz w:val="28"/>
          <w:szCs w:val="28"/>
        </w:rPr>
        <w:t>patvirtinimo</w:t>
      </w:r>
      <w:r w:rsidRPr="003A7F69">
        <w:rPr>
          <w:b/>
          <w:sz w:val="28"/>
          <w:szCs w:val="28"/>
        </w:rPr>
        <w:t>“</w:t>
      </w:r>
      <w:r w:rsidRPr="00DA7A62">
        <w:rPr>
          <w:b/>
          <w:caps/>
          <w:sz w:val="28"/>
          <w:szCs w:val="28"/>
        </w:rPr>
        <w:t xml:space="preserve"> </w:t>
      </w:r>
      <w:r w:rsidR="003912B0">
        <w:rPr>
          <w:b/>
          <w:caps/>
          <w:sz w:val="28"/>
          <w:szCs w:val="28"/>
        </w:rPr>
        <w:t xml:space="preserve">IR JĮ KEITUSIO SPRENDIMO </w:t>
      </w:r>
      <w:r w:rsidRPr="00DA7A62">
        <w:rPr>
          <w:b/>
          <w:caps/>
          <w:sz w:val="28"/>
          <w:szCs w:val="28"/>
        </w:rPr>
        <w:t>pakeitimo</w:t>
      </w:r>
    </w:p>
    <w:p w:rsidR="001E4CC2" w:rsidRPr="00921BA1" w:rsidRDefault="001E4CC2" w:rsidP="009E3C07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1E4CC2" w:rsidRDefault="004F1ABC" w:rsidP="009E3C07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</w:t>
      </w:r>
      <w:r w:rsidR="000C5A11">
        <w:rPr>
          <w:rStyle w:val="Komentaronuoroda"/>
          <w:sz w:val="24"/>
          <w:szCs w:val="24"/>
        </w:rPr>
        <w:t>3</w:t>
      </w:r>
      <w:r w:rsidR="00107D31">
        <w:rPr>
          <w:rStyle w:val="Komentaronuoroda"/>
          <w:sz w:val="24"/>
          <w:szCs w:val="24"/>
        </w:rPr>
        <w:t xml:space="preserve"> m. </w:t>
      </w:r>
      <w:r w:rsidR="0002372E">
        <w:rPr>
          <w:rStyle w:val="Komentaronuoroda"/>
          <w:sz w:val="24"/>
          <w:szCs w:val="24"/>
        </w:rPr>
        <w:t>gruodžio</w:t>
      </w:r>
      <w:r w:rsidR="00410E6F">
        <w:rPr>
          <w:rStyle w:val="Komentaronuoroda"/>
          <w:sz w:val="24"/>
          <w:szCs w:val="24"/>
        </w:rPr>
        <w:t xml:space="preserve"> 2</w:t>
      </w:r>
      <w:r w:rsidR="0002372E">
        <w:rPr>
          <w:rStyle w:val="Komentaronuoroda"/>
          <w:sz w:val="24"/>
          <w:szCs w:val="24"/>
        </w:rPr>
        <w:t>1</w:t>
      </w:r>
      <w:r w:rsidR="000F2115">
        <w:rPr>
          <w:rStyle w:val="Komentaronuoroda"/>
          <w:sz w:val="24"/>
          <w:szCs w:val="24"/>
        </w:rPr>
        <w:t xml:space="preserve"> d. Nr.</w:t>
      </w:r>
      <w:r w:rsidR="00921BA1">
        <w:rPr>
          <w:rStyle w:val="Komentaronuoroda"/>
          <w:sz w:val="24"/>
          <w:szCs w:val="24"/>
        </w:rPr>
        <w:t xml:space="preserve"> </w:t>
      </w:r>
      <w:r w:rsidR="000F2115">
        <w:rPr>
          <w:rStyle w:val="Komentaronuoroda"/>
          <w:sz w:val="24"/>
          <w:szCs w:val="24"/>
        </w:rPr>
        <w:t>T1-</w:t>
      </w:r>
      <w:r w:rsidR="009202B0">
        <w:rPr>
          <w:rStyle w:val="Komentaronuoroda"/>
          <w:sz w:val="24"/>
          <w:szCs w:val="24"/>
        </w:rPr>
        <w:t>331</w:t>
      </w:r>
      <w:bookmarkStart w:id="0" w:name="_GoBack"/>
      <w:bookmarkEnd w:id="0"/>
    </w:p>
    <w:p w:rsidR="001E4CC2" w:rsidRDefault="001E4CC2" w:rsidP="009E3C07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0E2CC1" w:rsidRDefault="000E2CC1" w:rsidP="009E3C07">
      <w:pPr>
        <w:rPr>
          <w:szCs w:val="24"/>
        </w:rPr>
      </w:pPr>
    </w:p>
    <w:p w:rsidR="00DA7A62" w:rsidRPr="00DA7A62" w:rsidRDefault="00DA7A62" w:rsidP="002A0128">
      <w:pPr>
        <w:rPr>
          <w:szCs w:val="24"/>
        </w:rPr>
      </w:pPr>
      <w:r w:rsidRPr="00DA7A62">
        <w:rPr>
          <w:szCs w:val="24"/>
        </w:rPr>
        <w:t xml:space="preserve">Plungės rajono savivaldybės taryba </w:t>
      </w:r>
      <w:r w:rsidRPr="00DA7A62">
        <w:rPr>
          <w:spacing w:val="40"/>
          <w:szCs w:val="24"/>
        </w:rPr>
        <w:t>nusprendžia</w:t>
      </w:r>
      <w:r w:rsidRPr="00DA7A62">
        <w:rPr>
          <w:szCs w:val="24"/>
        </w:rPr>
        <w:t xml:space="preserve">: </w:t>
      </w:r>
    </w:p>
    <w:p w:rsidR="006315FE" w:rsidRPr="003912B0" w:rsidRDefault="006315FE" w:rsidP="006315FE">
      <w:pPr>
        <w:rPr>
          <w:szCs w:val="24"/>
        </w:rPr>
      </w:pPr>
      <w:r>
        <w:rPr>
          <w:szCs w:val="24"/>
        </w:rPr>
        <w:t xml:space="preserve">1. </w:t>
      </w:r>
      <w:r w:rsidR="00DA7A62" w:rsidRPr="00DA7A62">
        <w:rPr>
          <w:szCs w:val="24"/>
        </w:rPr>
        <w:t>Pakeisti Plungės rajono savivaldybės tarybos 202</w:t>
      </w:r>
      <w:r w:rsidR="00DA7A62">
        <w:rPr>
          <w:szCs w:val="24"/>
        </w:rPr>
        <w:t>3</w:t>
      </w:r>
      <w:r w:rsidR="00DA7A62" w:rsidRPr="00DA7A62">
        <w:rPr>
          <w:szCs w:val="24"/>
        </w:rPr>
        <w:t xml:space="preserve"> m. </w:t>
      </w:r>
      <w:r w:rsidR="00DA7A62">
        <w:rPr>
          <w:szCs w:val="24"/>
        </w:rPr>
        <w:t>birželio</w:t>
      </w:r>
      <w:r w:rsidR="00DA7A62" w:rsidRPr="00DA7A62">
        <w:rPr>
          <w:szCs w:val="24"/>
        </w:rPr>
        <w:t xml:space="preserve"> 2</w:t>
      </w:r>
      <w:r w:rsidR="00DA7A62">
        <w:rPr>
          <w:szCs w:val="24"/>
        </w:rPr>
        <w:t>2</w:t>
      </w:r>
      <w:r w:rsidR="00DA7A62" w:rsidRPr="00DA7A62">
        <w:rPr>
          <w:szCs w:val="24"/>
        </w:rPr>
        <w:t xml:space="preserve"> d. sprendimo Nr. T1-</w:t>
      </w:r>
      <w:r w:rsidR="00DA7A62">
        <w:rPr>
          <w:szCs w:val="24"/>
        </w:rPr>
        <w:t>163</w:t>
      </w:r>
      <w:r w:rsidR="00DA7A62" w:rsidRPr="00DA7A62">
        <w:rPr>
          <w:szCs w:val="24"/>
        </w:rPr>
        <w:t xml:space="preserve"> </w:t>
      </w:r>
      <w:r w:rsidR="00DA7A62" w:rsidRPr="00DA7A62">
        <w:rPr>
          <w:bCs/>
          <w:szCs w:val="24"/>
        </w:rPr>
        <w:t>„Dėl Plungės rajono savivaldybės švietimo įstaigų, Plungės paslaugų ir švietimo pagalbos centro pedagoginių pareigybių ir nepedagoginių pareigybių, finansuojamų iš mokymo lėšų, didžiausio leistino skaičiaus 202</w:t>
      </w:r>
      <w:r w:rsidR="00DA7A62">
        <w:rPr>
          <w:bCs/>
          <w:szCs w:val="24"/>
        </w:rPr>
        <w:t>3</w:t>
      </w:r>
      <w:r w:rsidR="00DA7A62" w:rsidRPr="00DA7A62">
        <w:rPr>
          <w:bCs/>
          <w:szCs w:val="24"/>
        </w:rPr>
        <w:t>–202</w:t>
      </w:r>
      <w:r w:rsidR="00DA7A62">
        <w:rPr>
          <w:bCs/>
          <w:szCs w:val="24"/>
        </w:rPr>
        <w:t>4</w:t>
      </w:r>
      <w:r w:rsidR="00DA7A62" w:rsidRPr="00DA7A62">
        <w:rPr>
          <w:bCs/>
          <w:szCs w:val="24"/>
        </w:rPr>
        <w:t xml:space="preserve"> mokslo metams patvirtinimo“</w:t>
      </w:r>
      <w:r w:rsidR="003912B0">
        <w:rPr>
          <w:bCs/>
          <w:szCs w:val="24"/>
        </w:rPr>
        <w:t xml:space="preserve"> (kartu su 2023 m. spalio 26 d. sprendimu Nr. T1-271)</w:t>
      </w:r>
      <w:r w:rsidR="00DA7A62" w:rsidRPr="00DA7A62">
        <w:rPr>
          <w:b/>
          <w:szCs w:val="24"/>
        </w:rPr>
        <w:t xml:space="preserve"> </w:t>
      </w:r>
      <w:r>
        <w:rPr>
          <w:szCs w:val="24"/>
        </w:rPr>
        <w:t>priedo 1.2</w:t>
      </w:r>
      <w:r w:rsidR="00DA7A62" w:rsidRPr="00DA7A62">
        <w:rPr>
          <w:szCs w:val="24"/>
        </w:rPr>
        <w:t xml:space="preserve"> </w:t>
      </w:r>
      <w:r w:rsidR="00DA7A62" w:rsidRPr="003912B0">
        <w:rPr>
          <w:szCs w:val="24"/>
        </w:rPr>
        <w:t xml:space="preserve">papunktį </w:t>
      </w:r>
      <w:r w:rsidR="00242044" w:rsidRPr="003912B0">
        <w:rPr>
          <w:szCs w:val="24"/>
        </w:rPr>
        <w:t xml:space="preserve">„1.2. </w:t>
      </w:r>
      <w:r w:rsidR="00242044" w:rsidRPr="003A7F69">
        <w:rPr>
          <w:szCs w:val="24"/>
          <w:shd w:val="clear" w:color="auto" w:fill="FFFFFF"/>
        </w:rPr>
        <w:t>Plungės paslaugų ir švietimo pagalbos centro didžiausias leistinas pedagoginių pareigybių ir nepedagoginių</w:t>
      </w:r>
      <w:r w:rsidR="00242044" w:rsidRPr="003A7F69">
        <w:rPr>
          <w:szCs w:val="24"/>
        </w:rPr>
        <w:t xml:space="preserve"> </w:t>
      </w:r>
      <w:r w:rsidR="00242044" w:rsidRPr="003A7F69">
        <w:rPr>
          <w:szCs w:val="24"/>
          <w:shd w:val="clear" w:color="auto" w:fill="FFFFFF"/>
        </w:rPr>
        <w:t>pareigybių, finansuojamų iš mokymo lėšų</w:t>
      </w:r>
      <w:r w:rsidR="003912B0" w:rsidRPr="003912B0">
        <w:rPr>
          <w:szCs w:val="24"/>
          <w:shd w:val="clear" w:color="auto" w:fill="FFFFFF"/>
        </w:rPr>
        <w:t xml:space="preserve"> skaičius</w:t>
      </w:r>
      <w:r w:rsidR="003912B0">
        <w:rPr>
          <w:szCs w:val="24"/>
          <w:shd w:val="clear" w:color="auto" w:fill="FFFFFF"/>
        </w:rPr>
        <w:t>“</w:t>
      </w:r>
      <w:r w:rsidR="00242044" w:rsidRPr="003A7F69">
        <w:rPr>
          <w:szCs w:val="24"/>
          <w:shd w:val="clear" w:color="auto" w:fill="FFFFFF"/>
        </w:rPr>
        <w:t xml:space="preserve"> </w:t>
      </w:r>
      <w:r w:rsidR="00DA7A62" w:rsidRPr="003912B0">
        <w:rPr>
          <w:szCs w:val="24"/>
        </w:rPr>
        <w:t>ir išdėst</w:t>
      </w:r>
      <w:r w:rsidR="002F506C" w:rsidRPr="003912B0">
        <w:rPr>
          <w:szCs w:val="24"/>
        </w:rPr>
        <w:t>yti jį nauja redakcija:</w:t>
      </w:r>
      <w:r w:rsidR="00242044" w:rsidRPr="003A7F69">
        <w:rPr>
          <w:szCs w:val="24"/>
          <w:shd w:val="clear" w:color="auto" w:fill="FFFFFF"/>
        </w:rPr>
        <w:t xml:space="preserve"> </w:t>
      </w:r>
    </w:p>
    <w:p w:rsidR="002F506C" w:rsidRDefault="002F506C" w:rsidP="006315FE">
      <w:pPr>
        <w:rPr>
          <w:szCs w:val="24"/>
        </w:rPr>
      </w:pPr>
    </w:p>
    <w:tbl>
      <w:tblPr>
        <w:tblW w:w="979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291"/>
        <w:gridCol w:w="1701"/>
        <w:gridCol w:w="464"/>
        <w:gridCol w:w="670"/>
        <w:gridCol w:w="1559"/>
        <w:gridCol w:w="289"/>
        <w:gridCol w:w="238"/>
        <w:gridCol w:w="1316"/>
        <w:gridCol w:w="2269"/>
      </w:tblGrid>
      <w:tr w:rsidR="002F506C" w:rsidRPr="002306B0" w:rsidTr="003A7F69">
        <w:trPr>
          <w:trHeight w:val="311"/>
        </w:trPr>
        <w:tc>
          <w:tcPr>
            <w:tcW w:w="979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F506C" w:rsidRPr="003A7F69" w:rsidRDefault="002F506C" w:rsidP="002F506C">
            <w:pPr>
              <w:ind w:firstLine="0"/>
              <w:jc w:val="center"/>
              <w:rPr>
                <w:b/>
                <w:bCs/>
                <w:szCs w:val="24"/>
                <w:lang w:eastAsia="lt-LT"/>
              </w:rPr>
            </w:pPr>
            <w:r w:rsidRPr="003A7F69">
              <w:rPr>
                <w:b/>
                <w:bCs/>
                <w:szCs w:val="24"/>
                <w:lang w:eastAsia="lt-LT"/>
              </w:rPr>
              <w:t>1.2 PLUNGĖS PASLAUGŲ IR ŠVIETIMO PAGALBOS CENTRO DI</w:t>
            </w:r>
            <w:r w:rsidR="00242044">
              <w:rPr>
                <w:b/>
                <w:bCs/>
                <w:szCs w:val="24"/>
                <w:lang w:eastAsia="lt-LT"/>
              </w:rPr>
              <w:t>D</w:t>
            </w:r>
            <w:r w:rsidRPr="003A7F69">
              <w:rPr>
                <w:b/>
                <w:bCs/>
                <w:szCs w:val="24"/>
                <w:lang w:eastAsia="lt-LT"/>
              </w:rPr>
              <w:t>ŽIAUSIAS LEISTINAS PEDAGOGINIŲ PAREIGYBIŲ IR NEPEDAGOGINIŲ PAREIGYBIŲ, FINANSUOJAMŲ IŠ MOKYMO LĖŠŲ</w:t>
            </w:r>
            <w:r w:rsidR="003912B0">
              <w:rPr>
                <w:b/>
                <w:bCs/>
                <w:szCs w:val="24"/>
                <w:lang w:eastAsia="lt-LT"/>
              </w:rPr>
              <w:t>,</w:t>
            </w:r>
            <w:r w:rsidRPr="003A7F69">
              <w:rPr>
                <w:b/>
                <w:bCs/>
                <w:szCs w:val="24"/>
                <w:lang w:eastAsia="lt-LT"/>
              </w:rPr>
              <w:t xml:space="preserve"> SKAIČIUS</w:t>
            </w:r>
          </w:p>
        </w:tc>
      </w:tr>
      <w:tr w:rsidR="002306B0" w:rsidRPr="002306B0" w:rsidTr="003A7F69">
        <w:trPr>
          <w:trHeight w:val="311"/>
        </w:trPr>
        <w:tc>
          <w:tcPr>
            <w:tcW w:w="34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06B0" w:rsidRPr="003A7F69" w:rsidRDefault="002306B0" w:rsidP="002F506C">
            <w:pPr>
              <w:ind w:firstLine="0"/>
              <w:jc w:val="center"/>
              <w:rPr>
                <w:b/>
                <w:bCs/>
                <w:szCs w:val="24"/>
                <w:lang w:eastAsia="lt-LT"/>
              </w:rPr>
            </w:pPr>
          </w:p>
        </w:tc>
        <w:tc>
          <w:tcPr>
            <w:tcW w:w="22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06B0" w:rsidRPr="003A7F69" w:rsidRDefault="002306B0" w:rsidP="002F506C">
            <w:pPr>
              <w:ind w:firstLine="0"/>
              <w:jc w:val="left"/>
              <w:rPr>
                <w:b/>
                <w:bCs/>
                <w:szCs w:val="24"/>
                <w:lang w:eastAsia="lt-LT"/>
              </w:rPr>
            </w:pPr>
          </w:p>
        </w:tc>
        <w:tc>
          <w:tcPr>
            <w:tcW w:w="2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6B0" w:rsidRPr="003A7F69" w:rsidRDefault="002306B0" w:rsidP="002F506C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6B0" w:rsidRPr="003A7F69" w:rsidRDefault="002306B0" w:rsidP="002F506C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6B0" w:rsidRPr="003A7F69" w:rsidRDefault="002306B0" w:rsidP="002F506C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6B0" w:rsidRPr="003A7F69" w:rsidRDefault="002306B0" w:rsidP="002F506C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</w:tr>
      <w:tr w:rsidR="002306B0" w:rsidRPr="002306B0" w:rsidTr="003A7F69">
        <w:trPr>
          <w:trHeight w:val="311"/>
        </w:trPr>
        <w:tc>
          <w:tcPr>
            <w:tcW w:w="56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6B0" w:rsidRPr="003A7F69" w:rsidRDefault="002306B0" w:rsidP="002F506C">
            <w:pPr>
              <w:ind w:firstLine="0"/>
              <w:jc w:val="center"/>
              <w:rPr>
                <w:b/>
                <w:bCs/>
                <w:szCs w:val="24"/>
                <w:lang w:eastAsia="lt-LT"/>
              </w:rPr>
            </w:pPr>
            <w:r w:rsidRPr="003A7F69">
              <w:rPr>
                <w:b/>
                <w:bCs/>
                <w:szCs w:val="24"/>
                <w:lang w:eastAsia="lt-LT"/>
              </w:rPr>
              <w:t>Pedagoginių pareigybių skaičius</w:t>
            </w:r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6B0" w:rsidRPr="003A7F69" w:rsidRDefault="002306B0" w:rsidP="002F506C">
            <w:pPr>
              <w:ind w:firstLine="0"/>
              <w:jc w:val="center"/>
              <w:rPr>
                <w:b/>
                <w:bCs/>
                <w:szCs w:val="24"/>
                <w:lang w:eastAsia="lt-LT"/>
              </w:rPr>
            </w:pPr>
            <w:r w:rsidRPr="003A7F69">
              <w:rPr>
                <w:b/>
                <w:bCs/>
                <w:szCs w:val="24"/>
                <w:lang w:eastAsia="lt-LT"/>
              </w:rPr>
              <w:t>Iš viso nepedagoginių pareigybių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6B0" w:rsidRPr="003A7F69" w:rsidRDefault="002306B0" w:rsidP="002F506C">
            <w:pPr>
              <w:ind w:firstLine="0"/>
              <w:jc w:val="center"/>
              <w:rPr>
                <w:b/>
                <w:bCs/>
                <w:szCs w:val="24"/>
                <w:lang w:eastAsia="lt-LT"/>
              </w:rPr>
            </w:pPr>
            <w:r w:rsidRPr="003A7F69">
              <w:rPr>
                <w:b/>
                <w:bCs/>
                <w:szCs w:val="24"/>
                <w:lang w:eastAsia="lt-LT"/>
              </w:rPr>
              <w:t>Iš viso pareigybių</w:t>
            </w:r>
          </w:p>
        </w:tc>
      </w:tr>
      <w:tr w:rsidR="002306B0" w:rsidRPr="002306B0" w:rsidTr="003A7F69">
        <w:trPr>
          <w:trHeight w:val="1494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6B0" w:rsidRPr="003A7F69" w:rsidRDefault="002306B0" w:rsidP="002F506C">
            <w:pPr>
              <w:ind w:firstLine="0"/>
              <w:jc w:val="center"/>
              <w:rPr>
                <w:b/>
                <w:bCs/>
                <w:szCs w:val="24"/>
                <w:lang w:eastAsia="lt-LT"/>
              </w:rPr>
            </w:pPr>
            <w:r w:rsidRPr="003A7F69">
              <w:rPr>
                <w:b/>
                <w:bCs/>
                <w:szCs w:val="24"/>
                <w:lang w:eastAsia="lt-LT"/>
              </w:rPr>
              <w:t xml:space="preserve">Ugdymo procesui </w:t>
            </w:r>
            <w:proofErr w:type="spellStart"/>
            <w:r w:rsidRPr="003A7F69">
              <w:rPr>
                <w:b/>
                <w:bCs/>
                <w:szCs w:val="24"/>
                <w:lang w:eastAsia="lt-LT"/>
              </w:rPr>
              <w:t>oganizuoti</w:t>
            </w:r>
            <w:proofErr w:type="spellEnd"/>
            <w:r w:rsidRPr="003A7F69">
              <w:rPr>
                <w:b/>
                <w:bCs/>
                <w:szCs w:val="24"/>
                <w:lang w:eastAsia="lt-LT"/>
              </w:rPr>
              <w:t xml:space="preserve"> ir valdyti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6B0" w:rsidRPr="003A7F69" w:rsidRDefault="002306B0" w:rsidP="002F506C">
            <w:pPr>
              <w:ind w:firstLine="0"/>
              <w:jc w:val="left"/>
              <w:rPr>
                <w:b/>
                <w:bCs/>
                <w:szCs w:val="24"/>
                <w:lang w:eastAsia="lt-LT"/>
              </w:rPr>
            </w:pPr>
            <w:r w:rsidRPr="003A7F69">
              <w:rPr>
                <w:b/>
                <w:bCs/>
                <w:szCs w:val="24"/>
                <w:lang w:eastAsia="lt-LT"/>
              </w:rPr>
              <w:t>Metodininkas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6B0" w:rsidRPr="003A7F69" w:rsidRDefault="002306B0" w:rsidP="003A7F69">
            <w:pPr>
              <w:ind w:firstLine="0"/>
              <w:jc w:val="center"/>
              <w:rPr>
                <w:b/>
                <w:bCs/>
                <w:szCs w:val="24"/>
                <w:lang w:eastAsia="lt-LT"/>
              </w:rPr>
            </w:pPr>
            <w:r w:rsidRPr="003A7F69">
              <w:rPr>
                <w:b/>
                <w:bCs/>
                <w:szCs w:val="24"/>
                <w:lang w:eastAsia="lt-LT"/>
              </w:rPr>
              <w:t>Švietimo pagalbos etatai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6B0" w:rsidRPr="003A7F69" w:rsidRDefault="002306B0" w:rsidP="003A7F69">
            <w:pPr>
              <w:ind w:firstLine="0"/>
              <w:jc w:val="center"/>
              <w:rPr>
                <w:b/>
                <w:bCs/>
                <w:szCs w:val="24"/>
                <w:lang w:eastAsia="lt-LT"/>
              </w:rPr>
            </w:pPr>
            <w:r w:rsidRPr="003A7F69">
              <w:rPr>
                <w:b/>
                <w:bCs/>
                <w:szCs w:val="24"/>
                <w:lang w:eastAsia="lt-LT"/>
              </w:rPr>
              <w:t>Iš viso pedagoginių pareigybių</w:t>
            </w: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6B0" w:rsidRPr="003A7F69" w:rsidRDefault="002306B0" w:rsidP="002F506C">
            <w:pPr>
              <w:ind w:firstLine="0"/>
              <w:jc w:val="left"/>
              <w:rPr>
                <w:b/>
                <w:bCs/>
                <w:szCs w:val="24"/>
                <w:lang w:eastAsia="lt-LT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6B0" w:rsidRPr="003A7F69" w:rsidRDefault="002306B0" w:rsidP="002F506C">
            <w:pPr>
              <w:ind w:firstLine="0"/>
              <w:jc w:val="left"/>
              <w:rPr>
                <w:b/>
                <w:bCs/>
                <w:szCs w:val="24"/>
                <w:lang w:eastAsia="lt-LT"/>
              </w:rPr>
            </w:pPr>
          </w:p>
        </w:tc>
      </w:tr>
      <w:tr w:rsidR="002306B0" w:rsidRPr="002306B0" w:rsidTr="003A7F69">
        <w:trPr>
          <w:trHeight w:val="311"/>
        </w:trPr>
        <w:tc>
          <w:tcPr>
            <w:tcW w:w="1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6B0" w:rsidRPr="003A7F69" w:rsidRDefault="002306B0" w:rsidP="002F506C">
            <w:pPr>
              <w:ind w:firstLine="0"/>
              <w:jc w:val="center"/>
              <w:rPr>
                <w:szCs w:val="24"/>
                <w:lang w:eastAsia="lt-LT"/>
              </w:rPr>
            </w:pPr>
            <w:r w:rsidRPr="003A7F69">
              <w:rPr>
                <w:szCs w:val="24"/>
                <w:lang w:eastAsia="lt-LT"/>
              </w:rPr>
              <w:t>2,50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6B0" w:rsidRPr="003A7F69" w:rsidRDefault="002306B0" w:rsidP="002F506C">
            <w:pPr>
              <w:ind w:firstLine="0"/>
              <w:jc w:val="center"/>
              <w:rPr>
                <w:szCs w:val="24"/>
                <w:lang w:eastAsia="lt-LT"/>
              </w:rPr>
            </w:pPr>
            <w:r w:rsidRPr="003A7F69">
              <w:rPr>
                <w:szCs w:val="24"/>
                <w:lang w:eastAsia="lt-LT"/>
              </w:rPr>
              <w:t>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306B0" w:rsidRPr="003A7F69" w:rsidRDefault="002306B0" w:rsidP="002F506C">
            <w:pPr>
              <w:ind w:firstLine="0"/>
              <w:jc w:val="center"/>
              <w:rPr>
                <w:szCs w:val="24"/>
                <w:lang w:eastAsia="lt-LT"/>
              </w:rPr>
            </w:pPr>
            <w:r w:rsidRPr="003A7F69">
              <w:rPr>
                <w:szCs w:val="24"/>
                <w:lang w:eastAsia="lt-LT"/>
              </w:rPr>
              <w:t>6,50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6B0" w:rsidRPr="003A7F69" w:rsidRDefault="002306B0" w:rsidP="002F506C">
            <w:pPr>
              <w:ind w:firstLine="0"/>
              <w:jc w:val="center"/>
              <w:rPr>
                <w:b/>
                <w:bCs/>
                <w:szCs w:val="24"/>
                <w:lang w:eastAsia="lt-LT"/>
              </w:rPr>
            </w:pPr>
            <w:r w:rsidRPr="003A7F69">
              <w:rPr>
                <w:b/>
                <w:bCs/>
                <w:szCs w:val="24"/>
                <w:lang w:eastAsia="lt-LT"/>
              </w:rPr>
              <w:t>11,00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6B0" w:rsidRPr="003A7F69" w:rsidRDefault="002306B0" w:rsidP="002F506C">
            <w:pPr>
              <w:ind w:firstLine="0"/>
              <w:jc w:val="center"/>
              <w:rPr>
                <w:b/>
                <w:bCs/>
                <w:szCs w:val="24"/>
                <w:lang w:eastAsia="lt-LT"/>
              </w:rPr>
            </w:pPr>
            <w:r w:rsidRPr="003A7F69">
              <w:rPr>
                <w:b/>
                <w:bCs/>
                <w:szCs w:val="24"/>
                <w:lang w:eastAsia="lt-LT"/>
              </w:rPr>
              <w:t>0,4</w:t>
            </w:r>
          </w:p>
        </w:tc>
        <w:tc>
          <w:tcPr>
            <w:tcW w:w="22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306B0" w:rsidRPr="003A7F69" w:rsidRDefault="002306B0" w:rsidP="009A57F1">
            <w:pPr>
              <w:ind w:firstLine="0"/>
              <w:jc w:val="center"/>
              <w:rPr>
                <w:b/>
                <w:bCs/>
                <w:szCs w:val="24"/>
                <w:lang w:eastAsia="lt-LT"/>
              </w:rPr>
            </w:pPr>
            <w:r w:rsidRPr="003A7F69">
              <w:rPr>
                <w:b/>
                <w:bCs/>
                <w:szCs w:val="24"/>
                <w:lang w:eastAsia="lt-LT"/>
              </w:rPr>
              <w:t>11,40</w:t>
            </w:r>
          </w:p>
        </w:tc>
      </w:tr>
      <w:tr w:rsidR="002306B0" w:rsidRPr="002306B0" w:rsidTr="003A7F69">
        <w:trPr>
          <w:trHeight w:val="311"/>
        </w:trPr>
        <w:tc>
          <w:tcPr>
            <w:tcW w:w="1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06B0" w:rsidRPr="003A7F69" w:rsidRDefault="002306B0" w:rsidP="00992662">
            <w:pPr>
              <w:ind w:firstLine="0"/>
              <w:rPr>
                <w:b/>
                <w:bCs/>
                <w:szCs w:val="24"/>
                <w:lang w:eastAsia="lt-LT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06B0" w:rsidRPr="003A7F69" w:rsidRDefault="002306B0" w:rsidP="002F506C">
            <w:pPr>
              <w:ind w:firstLine="0"/>
              <w:jc w:val="center"/>
              <w:rPr>
                <w:b/>
                <w:bCs/>
                <w:szCs w:val="24"/>
                <w:lang w:eastAsia="lt-LT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6B0" w:rsidRPr="003A7F69" w:rsidRDefault="002306B0" w:rsidP="002F506C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6B0" w:rsidRPr="003A7F69" w:rsidRDefault="002306B0" w:rsidP="002F506C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18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6B0" w:rsidRPr="003A7F69" w:rsidRDefault="002306B0" w:rsidP="002F506C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  <w:tc>
          <w:tcPr>
            <w:tcW w:w="22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306B0" w:rsidRPr="003A7F69" w:rsidRDefault="002306B0" w:rsidP="002F506C">
            <w:pPr>
              <w:ind w:firstLine="0"/>
              <w:jc w:val="left"/>
              <w:rPr>
                <w:szCs w:val="24"/>
                <w:lang w:eastAsia="lt-LT"/>
              </w:rPr>
            </w:pPr>
          </w:p>
        </w:tc>
      </w:tr>
    </w:tbl>
    <w:p w:rsidR="003912B0" w:rsidRDefault="003912B0" w:rsidP="003A7F69">
      <w:pPr>
        <w:rPr>
          <w:szCs w:val="24"/>
        </w:rPr>
      </w:pPr>
    </w:p>
    <w:p w:rsidR="006315FE" w:rsidRPr="006315FE" w:rsidRDefault="006315FE" w:rsidP="003A7F69">
      <w:pPr>
        <w:rPr>
          <w:szCs w:val="24"/>
        </w:rPr>
      </w:pPr>
      <w:r w:rsidRPr="006315FE">
        <w:rPr>
          <w:szCs w:val="24"/>
        </w:rPr>
        <w:t>2. Nustatyti, kad šis tarybos sprendimas įsigalioja 2024 m. sausio 1 d.</w:t>
      </w:r>
    </w:p>
    <w:p w:rsidR="00DA7A62" w:rsidRDefault="00DA7A62" w:rsidP="00DA7A62">
      <w:pPr>
        <w:ind w:firstLine="0"/>
        <w:rPr>
          <w:szCs w:val="24"/>
        </w:rPr>
      </w:pPr>
    </w:p>
    <w:p w:rsidR="003912B0" w:rsidRDefault="003912B0" w:rsidP="002F506C">
      <w:pPr>
        <w:tabs>
          <w:tab w:val="left" w:pos="7920"/>
        </w:tabs>
        <w:ind w:firstLine="0"/>
        <w:rPr>
          <w:szCs w:val="24"/>
        </w:rPr>
      </w:pPr>
    </w:p>
    <w:p w:rsidR="003912B0" w:rsidRDefault="00E07278" w:rsidP="00613D6E">
      <w:pPr>
        <w:tabs>
          <w:tab w:val="left" w:pos="7920"/>
        </w:tabs>
        <w:ind w:firstLine="0"/>
        <w:rPr>
          <w:szCs w:val="24"/>
        </w:rPr>
      </w:pPr>
      <w:r w:rsidRPr="00702874">
        <w:rPr>
          <w:szCs w:val="24"/>
        </w:rPr>
        <w:t>Savivaldybės meras</w:t>
      </w:r>
      <w:r w:rsidRPr="00702874">
        <w:t xml:space="preserve"> </w:t>
      </w:r>
      <w:r w:rsidR="000162FE">
        <w:t xml:space="preserve">                                                                                                  </w:t>
      </w:r>
      <w:r w:rsidR="003551CF">
        <w:t xml:space="preserve"> </w:t>
      </w:r>
      <w:r w:rsidR="000162FE">
        <w:t xml:space="preserve"> Audrius Klišonis</w:t>
      </w:r>
    </w:p>
    <w:p w:rsidR="003912B0" w:rsidRDefault="003912B0" w:rsidP="00E04BE9">
      <w:pPr>
        <w:ind w:firstLine="0"/>
        <w:rPr>
          <w:szCs w:val="24"/>
        </w:rPr>
      </w:pPr>
    </w:p>
    <w:p w:rsidR="003912B0" w:rsidRDefault="003912B0" w:rsidP="00E04BE9">
      <w:pPr>
        <w:ind w:firstLine="0"/>
        <w:rPr>
          <w:szCs w:val="24"/>
        </w:rPr>
      </w:pPr>
    </w:p>
    <w:p w:rsidR="00CF61F3" w:rsidRPr="00CF61F3" w:rsidRDefault="00CF61F3" w:rsidP="00613D6E">
      <w:pPr>
        <w:ind w:firstLine="0"/>
        <w:jc w:val="left"/>
      </w:pPr>
      <w:r w:rsidRPr="00CF61F3">
        <w:t xml:space="preserve">                                                                                              </w:t>
      </w:r>
    </w:p>
    <w:sectPr w:rsidR="00CF61F3" w:rsidRPr="00CF61F3" w:rsidSect="009E3C07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56D2" w:rsidRDefault="006A56D2">
      <w:r>
        <w:separator/>
      </w:r>
    </w:p>
  </w:endnote>
  <w:endnote w:type="continuationSeparator" w:id="0">
    <w:p w:rsidR="006A56D2" w:rsidRDefault="006A5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C5E" w:rsidRDefault="00A56C5E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56D2" w:rsidRDefault="006A56D2">
      <w:r>
        <w:separator/>
      </w:r>
    </w:p>
  </w:footnote>
  <w:footnote w:type="continuationSeparator" w:id="0">
    <w:p w:rsidR="006A56D2" w:rsidRDefault="006A5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F725B"/>
    <w:multiLevelType w:val="hybridMultilevel"/>
    <w:tmpl w:val="0A74566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C4262"/>
    <w:multiLevelType w:val="multilevel"/>
    <w:tmpl w:val="B9B25A5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852"/>
    <w:rsid w:val="00000F3B"/>
    <w:rsid w:val="00005F22"/>
    <w:rsid w:val="00013D6D"/>
    <w:rsid w:val="000162FE"/>
    <w:rsid w:val="00017998"/>
    <w:rsid w:val="0002372E"/>
    <w:rsid w:val="00027A53"/>
    <w:rsid w:val="00030DED"/>
    <w:rsid w:val="00044E21"/>
    <w:rsid w:val="0005218E"/>
    <w:rsid w:val="00053C26"/>
    <w:rsid w:val="00055CD8"/>
    <w:rsid w:val="00060701"/>
    <w:rsid w:val="00062BF1"/>
    <w:rsid w:val="00063C9F"/>
    <w:rsid w:val="00073271"/>
    <w:rsid w:val="000860DD"/>
    <w:rsid w:val="00091B7E"/>
    <w:rsid w:val="0009330A"/>
    <w:rsid w:val="000A54D2"/>
    <w:rsid w:val="000A6B2C"/>
    <w:rsid w:val="000B3909"/>
    <w:rsid w:val="000B42A1"/>
    <w:rsid w:val="000C5A11"/>
    <w:rsid w:val="000D1694"/>
    <w:rsid w:val="000E2CC1"/>
    <w:rsid w:val="000E51FC"/>
    <w:rsid w:val="000F2115"/>
    <w:rsid w:val="000F4F52"/>
    <w:rsid w:val="00101E31"/>
    <w:rsid w:val="00107D31"/>
    <w:rsid w:val="001120B0"/>
    <w:rsid w:val="00121DBA"/>
    <w:rsid w:val="0012678B"/>
    <w:rsid w:val="0014303E"/>
    <w:rsid w:val="00147F30"/>
    <w:rsid w:val="001503F7"/>
    <w:rsid w:val="00151AC2"/>
    <w:rsid w:val="00171C9F"/>
    <w:rsid w:val="00174830"/>
    <w:rsid w:val="001830D5"/>
    <w:rsid w:val="00183934"/>
    <w:rsid w:val="00183976"/>
    <w:rsid w:val="00191CC9"/>
    <w:rsid w:val="00196A4D"/>
    <w:rsid w:val="001A6747"/>
    <w:rsid w:val="001C43F5"/>
    <w:rsid w:val="001D07FC"/>
    <w:rsid w:val="001D2E29"/>
    <w:rsid w:val="001E151D"/>
    <w:rsid w:val="001E4CC2"/>
    <w:rsid w:val="00205DD9"/>
    <w:rsid w:val="00206081"/>
    <w:rsid w:val="00213D4F"/>
    <w:rsid w:val="002176B7"/>
    <w:rsid w:val="002203AE"/>
    <w:rsid w:val="00226B40"/>
    <w:rsid w:val="002306B0"/>
    <w:rsid w:val="00230EC4"/>
    <w:rsid w:val="00234759"/>
    <w:rsid w:val="002350F0"/>
    <w:rsid w:val="0023653D"/>
    <w:rsid w:val="00242044"/>
    <w:rsid w:val="00246A11"/>
    <w:rsid w:val="002643BC"/>
    <w:rsid w:val="002649C8"/>
    <w:rsid w:val="00271006"/>
    <w:rsid w:val="00272D24"/>
    <w:rsid w:val="00274888"/>
    <w:rsid w:val="0029276F"/>
    <w:rsid w:val="002A0128"/>
    <w:rsid w:val="002A47A0"/>
    <w:rsid w:val="002A71EC"/>
    <w:rsid w:val="002B6C59"/>
    <w:rsid w:val="002C7AE0"/>
    <w:rsid w:val="002D06A5"/>
    <w:rsid w:val="002E1A96"/>
    <w:rsid w:val="002F1486"/>
    <w:rsid w:val="002F2332"/>
    <w:rsid w:val="002F506C"/>
    <w:rsid w:val="00311E8A"/>
    <w:rsid w:val="003162D5"/>
    <w:rsid w:val="003255DC"/>
    <w:rsid w:val="00325BCC"/>
    <w:rsid w:val="00334C42"/>
    <w:rsid w:val="00337E07"/>
    <w:rsid w:val="003431B3"/>
    <w:rsid w:val="00343662"/>
    <w:rsid w:val="0034555A"/>
    <w:rsid w:val="00347CE4"/>
    <w:rsid w:val="0035161F"/>
    <w:rsid w:val="00353599"/>
    <w:rsid w:val="003551CF"/>
    <w:rsid w:val="00360271"/>
    <w:rsid w:val="0036249C"/>
    <w:rsid w:val="00367D78"/>
    <w:rsid w:val="00375261"/>
    <w:rsid w:val="00377F2B"/>
    <w:rsid w:val="00381EF3"/>
    <w:rsid w:val="0038765B"/>
    <w:rsid w:val="00390196"/>
    <w:rsid w:val="003912B0"/>
    <w:rsid w:val="00393F84"/>
    <w:rsid w:val="003A513A"/>
    <w:rsid w:val="003A641F"/>
    <w:rsid w:val="003A7F69"/>
    <w:rsid w:val="003B0E7F"/>
    <w:rsid w:val="003B554B"/>
    <w:rsid w:val="003B5E56"/>
    <w:rsid w:val="003C017B"/>
    <w:rsid w:val="003C1FB9"/>
    <w:rsid w:val="003C5002"/>
    <w:rsid w:val="003E2C46"/>
    <w:rsid w:val="003E432A"/>
    <w:rsid w:val="003F029E"/>
    <w:rsid w:val="00400538"/>
    <w:rsid w:val="004061F7"/>
    <w:rsid w:val="00410E6F"/>
    <w:rsid w:val="00417FD8"/>
    <w:rsid w:val="00420A57"/>
    <w:rsid w:val="00426963"/>
    <w:rsid w:val="0043065E"/>
    <w:rsid w:val="004348F3"/>
    <w:rsid w:val="0043651E"/>
    <w:rsid w:val="004413C1"/>
    <w:rsid w:val="00442D73"/>
    <w:rsid w:val="004447C6"/>
    <w:rsid w:val="00475B0D"/>
    <w:rsid w:val="00477D11"/>
    <w:rsid w:val="004813CA"/>
    <w:rsid w:val="004834E6"/>
    <w:rsid w:val="00484ADE"/>
    <w:rsid w:val="004918D9"/>
    <w:rsid w:val="004B2222"/>
    <w:rsid w:val="004B4FB1"/>
    <w:rsid w:val="004C1018"/>
    <w:rsid w:val="004C378F"/>
    <w:rsid w:val="004D1014"/>
    <w:rsid w:val="004D50C1"/>
    <w:rsid w:val="004E2C4F"/>
    <w:rsid w:val="004E4EE9"/>
    <w:rsid w:val="004E5436"/>
    <w:rsid w:val="004F1ABC"/>
    <w:rsid w:val="004F2337"/>
    <w:rsid w:val="004F6194"/>
    <w:rsid w:val="00502587"/>
    <w:rsid w:val="00503B67"/>
    <w:rsid w:val="00503F16"/>
    <w:rsid w:val="005105F9"/>
    <w:rsid w:val="00514CEB"/>
    <w:rsid w:val="0052588E"/>
    <w:rsid w:val="00536402"/>
    <w:rsid w:val="00540717"/>
    <w:rsid w:val="00542819"/>
    <w:rsid w:val="00542C2A"/>
    <w:rsid w:val="005434D5"/>
    <w:rsid w:val="00543572"/>
    <w:rsid w:val="0054412C"/>
    <w:rsid w:val="00544EAC"/>
    <w:rsid w:val="00546C2C"/>
    <w:rsid w:val="0055119F"/>
    <w:rsid w:val="0055299D"/>
    <w:rsid w:val="005532BE"/>
    <w:rsid w:val="005558AF"/>
    <w:rsid w:val="0056250C"/>
    <w:rsid w:val="00562E36"/>
    <w:rsid w:val="00567E11"/>
    <w:rsid w:val="00567E94"/>
    <w:rsid w:val="005832FB"/>
    <w:rsid w:val="00590581"/>
    <w:rsid w:val="00591809"/>
    <w:rsid w:val="00596235"/>
    <w:rsid w:val="00597710"/>
    <w:rsid w:val="00597AA2"/>
    <w:rsid w:val="005B05D0"/>
    <w:rsid w:val="005B4FEF"/>
    <w:rsid w:val="005D4FE1"/>
    <w:rsid w:val="005D6D54"/>
    <w:rsid w:val="005E0596"/>
    <w:rsid w:val="005F1B3B"/>
    <w:rsid w:val="005F2DE3"/>
    <w:rsid w:val="005F3047"/>
    <w:rsid w:val="005F3A22"/>
    <w:rsid w:val="005F4A6D"/>
    <w:rsid w:val="005F70E4"/>
    <w:rsid w:val="00604975"/>
    <w:rsid w:val="00613D6E"/>
    <w:rsid w:val="00617DDF"/>
    <w:rsid w:val="006218B1"/>
    <w:rsid w:val="00625139"/>
    <w:rsid w:val="006315FE"/>
    <w:rsid w:val="00632C4D"/>
    <w:rsid w:val="00633F2D"/>
    <w:rsid w:val="0063744F"/>
    <w:rsid w:val="00655BA5"/>
    <w:rsid w:val="0067723D"/>
    <w:rsid w:val="00690AC6"/>
    <w:rsid w:val="006A56D2"/>
    <w:rsid w:val="006A7FC1"/>
    <w:rsid w:val="006B11B8"/>
    <w:rsid w:val="006B1871"/>
    <w:rsid w:val="006B532D"/>
    <w:rsid w:val="006C0167"/>
    <w:rsid w:val="006C1B39"/>
    <w:rsid w:val="006C478D"/>
    <w:rsid w:val="006D1B96"/>
    <w:rsid w:val="006D30D5"/>
    <w:rsid w:val="006D33E2"/>
    <w:rsid w:val="006E097E"/>
    <w:rsid w:val="006E6607"/>
    <w:rsid w:val="006F278C"/>
    <w:rsid w:val="006F40BE"/>
    <w:rsid w:val="00703AD2"/>
    <w:rsid w:val="00704026"/>
    <w:rsid w:val="00705E58"/>
    <w:rsid w:val="007070B3"/>
    <w:rsid w:val="00710D74"/>
    <w:rsid w:val="00714987"/>
    <w:rsid w:val="007217F1"/>
    <w:rsid w:val="00722E7A"/>
    <w:rsid w:val="007263FA"/>
    <w:rsid w:val="00732AA1"/>
    <w:rsid w:val="0075155A"/>
    <w:rsid w:val="00763E8A"/>
    <w:rsid w:val="00764B93"/>
    <w:rsid w:val="00766B79"/>
    <w:rsid w:val="007677B3"/>
    <w:rsid w:val="00770F55"/>
    <w:rsid w:val="007831C1"/>
    <w:rsid w:val="00786BF2"/>
    <w:rsid w:val="00787EA7"/>
    <w:rsid w:val="007A6EC0"/>
    <w:rsid w:val="007A7605"/>
    <w:rsid w:val="007B63A8"/>
    <w:rsid w:val="007C2C6E"/>
    <w:rsid w:val="007C4A56"/>
    <w:rsid w:val="007C5231"/>
    <w:rsid w:val="007C7536"/>
    <w:rsid w:val="007D3D25"/>
    <w:rsid w:val="007D4D4D"/>
    <w:rsid w:val="007E2FEB"/>
    <w:rsid w:val="007F10F5"/>
    <w:rsid w:val="007F64C8"/>
    <w:rsid w:val="007F67A1"/>
    <w:rsid w:val="00807F10"/>
    <w:rsid w:val="00814779"/>
    <w:rsid w:val="00821B10"/>
    <w:rsid w:val="00823E85"/>
    <w:rsid w:val="0082481B"/>
    <w:rsid w:val="00826D1E"/>
    <w:rsid w:val="008312DB"/>
    <w:rsid w:val="00834358"/>
    <w:rsid w:val="00836727"/>
    <w:rsid w:val="00865CFF"/>
    <w:rsid w:val="008663B3"/>
    <w:rsid w:val="0087216D"/>
    <w:rsid w:val="0087230C"/>
    <w:rsid w:val="008772ED"/>
    <w:rsid w:val="00882624"/>
    <w:rsid w:val="008865DC"/>
    <w:rsid w:val="00886C64"/>
    <w:rsid w:val="00890A0C"/>
    <w:rsid w:val="0089427C"/>
    <w:rsid w:val="00895C9F"/>
    <w:rsid w:val="008A34F9"/>
    <w:rsid w:val="008A6812"/>
    <w:rsid w:val="008A7ABC"/>
    <w:rsid w:val="008B4263"/>
    <w:rsid w:val="008B61F5"/>
    <w:rsid w:val="008B76F9"/>
    <w:rsid w:val="008C174E"/>
    <w:rsid w:val="008C549E"/>
    <w:rsid w:val="008D1953"/>
    <w:rsid w:val="008E1AD2"/>
    <w:rsid w:val="008E318A"/>
    <w:rsid w:val="008E73E9"/>
    <w:rsid w:val="008F0E84"/>
    <w:rsid w:val="008F105B"/>
    <w:rsid w:val="008F6552"/>
    <w:rsid w:val="008F7E94"/>
    <w:rsid w:val="00902D66"/>
    <w:rsid w:val="00905D93"/>
    <w:rsid w:val="00911151"/>
    <w:rsid w:val="009202B0"/>
    <w:rsid w:val="009210C8"/>
    <w:rsid w:val="00921BA1"/>
    <w:rsid w:val="00924D46"/>
    <w:rsid w:val="009258FD"/>
    <w:rsid w:val="009355AE"/>
    <w:rsid w:val="009455CC"/>
    <w:rsid w:val="009550C1"/>
    <w:rsid w:val="00956543"/>
    <w:rsid w:val="00957BCA"/>
    <w:rsid w:val="009704E4"/>
    <w:rsid w:val="009721A5"/>
    <w:rsid w:val="009767DA"/>
    <w:rsid w:val="0098589E"/>
    <w:rsid w:val="00992662"/>
    <w:rsid w:val="00992CA7"/>
    <w:rsid w:val="009942EF"/>
    <w:rsid w:val="009A2806"/>
    <w:rsid w:val="009A57F1"/>
    <w:rsid w:val="009B0A66"/>
    <w:rsid w:val="009B1797"/>
    <w:rsid w:val="009B76EC"/>
    <w:rsid w:val="009B7FB3"/>
    <w:rsid w:val="009C6CBC"/>
    <w:rsid w:val="009D1139"/>
    <w:rsid w:val="009E140F"/>
    <w:rsid w:val="009E22E3"/>
    <w:rsid w:val="009E3C07"/>
    <w:rsid w:val="009F138B"/>
    <w:rsid w:val="00A066AC"/>
    <w:rsid w:val="00A13A46"/>
    <w:rsid w:val="00A13C83"/>
    <w:rsid w:val="00A17855"/>
    <w:rsid w:val="00A32768"/>
    <w:rsid w:val="00A3343B"/>
    <w:rsid w:val="00A33816"/>
    <w:rsid w:val="00A465B2"/>
    <w:rsid w:val="00A51E05"/>
    <w:rsid w:val="00A56C5E"/>
    <w:rsid w:val="00A65D75"/>
    <w:rsid w:val="00A70AF4"/>
    <w:rsid w:val="00A8740F"/>
    <w:rsid w:val="00AA2B97"/>
    <w:rsid w:val="00AA5976"/>
    <w:rsid w:val="00AB0631"/>
    <w:rsid w:val="00AB7AB2"/>
    <w:rsid w:val="00AC1AB6"/>
    <w:rsid w:val="00AC5852"/>
    <w:rsid w:val="00AD6BD0"/>
    <w:rsid w:val="00AE214C"/>
    <w:rsid w:val="00AE6D50"/>
    <w:rsid w:val="00AE6E8A"/>
    <w:rsid w:val="00AF468C"/>
    <w:rsid w:val="00B06BFD"/>
    <w:rsid w:val="00B3135D"/>
    <w:rsid w:val="00B32BA7"/>
    <w:rsid w:val="00B33B69"/>
    <w:rsid w:val="00B3531A"/>
    <w:rsid w:val="00B46F4E"/>
    <w:rsid w:val="00B508F0"/>
    <w:rsid w:val="00B51814"/>
    <w:rsid w:val="00B526D7"/>
    <w:rsid w:val="00B74DC5"/>
    <w:rsid w:val="00B76DAF"/>
    <w:rsid w:val="00B81D45"/>
    <w:rsid w:val="00B90B66"/>
    <w:rsid w:val="00B95893"/>
    <w:rsid w:val="00B96C7F"/>
    <w:rsid w:val="00BA470A"/>
    <w:rsid w:val="00BA6BCB"/>
    <w:rsid w:val="00BB0598"/>
    <w:rsid w:val="00BB0CBD"/>
    <w:rsid w:val="00BB1C55"/>
    <w:rsid w:val="00BB2A6B"/>
    <w:rsid w:val="00BB51B1"/>
    <w:rsid w:val="00BD39B8"/>
    <w:rsid w:val="00BD7AA3"/>
    <w:rsid w:val="00BE4690"/>
    <w:rsid w:val="00BF093C"/>
    <w:rsid w:val="00BF0F9B"/>
    <w:rsid w:val="00BF2622"/>
    <w:rsid w:val="00BF3C4F"/>
    <w:rsid w:val="00C03436"/>
    <w:rsid w:val="00C266BC"/>
    <w:rsid w:val="00C4156F"/>
    <w:rsid w:val="00C418A9"/>
    <w:rsid w:val="00C45915"/>
    <w:rsid w:val="00C5436E"/>
    <w:rsid w:val="00C55D54"/>
    <w:rsid w:val="00C602CB"/>
    <w:rsid w:val="00C657A0"/>
    <w:rsid w:val="00C664B5"/>
    <w:rsid w:val="00C734F1"/>
    <w:rsid w:val="00C874E5"/>
    <w:rsid w:val="00C91D39"/>
    <w:rsid w:val="00CA3FE9"/>
    <w:rsid w:val="00CA4A48"/>
    <w:rsid w:val="00CE3CF1"/>
    <w:rsid w:val="00CE47A4"/>
    <w:rsid w:val="00CF61F3"/>
    <w:rsid w:val="00CF6BFC"/>
    <w:rsid w:val="00CF7704"/>
    <w:rsid w:val="00D0129D"/>
    <w:rsid w:val="00D01F6E"/>
    <w:rsid w:val="00D046E7"/>
    <w:rsid w:val="00D10018"/>
    <w:rsid w:val="00D12A0D"/>
    <w:rsid w:val="00D173EB"/>
    <w:rsid w:val="00D20AAF"/>
    <w:rsid w:val="00D20EBB"/>
    <w:rsid w:val="00D22E07"/>
    <w:rsid w:val="00D343C5"/>
    <w:rsid w:val="00D421A4"/>
    <w:rsid w:val="00D421FB"/>
    <w:rsid w:val="00D54BD7"/>
    <w:rsid w:val="00D81E12"/>
    <w:rsid w:val="00D85F6B"/>
    <w:rsid w:val="00D92541"/>
    <w:rsid w:val="00D9455E"/>
    <w:rsid w:val="00D9569C"/>
    <w:rsid w:val="00DA06D1"/>
    <w:rsid w:val="00DA7A62"/>
    <w:rsid w:val="00DB00C3"/>
    <w:rsid w:val="00DB552D"/>
    <w:rsid w:val="00DC2FD3"/>
    <w:rsid w:val="00DC76B5"/>
    <w:rsid w:val="00DD498B"/>
    <w:rsid w:val="00DE05B6"/>
    <w:rsid w:val="00DE44C7"/>
    <w:rsid w:val="00DE570B"/>
    <w:rsid w:val="00DE5D1B"/>
    <w:rsid w:val="00DE7968"/>
    <w:rsid w:val="00E04BE9"/>
    <w:rsid w:val="00E05F01"/>
    <w:rsid w:val="00E07278"/>
    <w:rsid w:val="00E26AF1"/>
    <w:rsid w:val="00E279C6"/>
    <w:rsid w:val="00E333AE"/>
    <w:rsid w:val="00E465A3"/>
    <w:rsid w:val="00E46A17"/>
    <w:rsid w:val="00E47A32"/>
    <w:rsid w:val="00E51C07"/>
    <w:rsid w:val="00E60C42"/>
    <w:rsid w:val="00E70105"/>
    <w:rsid w:val="00E705F8"/>
    <w:rsid w:val="00E74927"/>
    <w:rsid w:val="00E76498"/>
    <w:rsid w:val="00E809B7"/>
    <w:rsid w:val="00E81072"/>
    <w:rsid w:val="00E83324"/>
    <w:rsid w:val="00E9522B"/>
    <w:rsid w:val="00EB5704"/>
    <w:rsid w:val="00EB6B7C"/>
    <w:rsid w:val="00EB7A60"/>
    <w:rsid w:val="00EC29D6"/>
    <w:rsid w:val="00ED19C9"/>
    <w:rsid w:val="00ED5A45"/>
    <w:rsid w:val="00ED65A6"/>
    <w:rsid w:val="00ED6DA0"/>
    <w:rsid w:val="00EE1AFE"/>
    <w:rsid w:val="00EE61C4"/>
    <w:rsid w:val="00EF1AD8"/>
    <w:rsid w:val="00EF2021"/>
    <w:rsid w:val="00EF7E7E"/>
    <w:rsid w:val="00F10E10"/>
    <w:rsid w:val="00F26875"/>
    <w:rsid w:val="00F31FC8"/>
    <w:rsid w:val="00F36567"/>
    <w:rsid w:val="00F40A98"/>
    <w:rsid w:val="00F4104E"/>
    <w:rsid w:val="00F443E1"/>
    <w:rsid w:val="00F46ACC"/>
    <w:rsid w:val="00F54CCD"/>
    <w:rsid w:val="00F55A17"/>
    <w:rsid w:val="00F5613D"/>
    <w:rsid w:val="00F60B65"/>
    <w:rsid w:val="00F61759"/>
    <w:rsid w:val="00F70813"/>
    <w:rsid w:val="00F741AA"/>
    <w:rsid w:val="00F8014A"/>
    <w:rsid w:val="00F94304"/>
    <w:rsid w:val="00FA7F3D"/>
    <w:rsid w:val="00FC34EE"/>
    <w:rsid w:val="00FD0413"/>
    <w:rsid w:val="00FE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1FAB7B1"/>
  <w15:docId w15:val="{5CE9988F-B769-442F-AFE8-9859AC0BC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CF61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8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63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Irmantė Kurmienė</cp:lastModifiedBy>
  <cp:revision>6</cp:revision>
  <cp:lastPrinted>2023-12-05T06:13:00Z</cp:lastPrinted>
  <dcterms:created xsi:type="dcterms:W3CDTF">2023-12-05T14:02:00Z</dcterms:created>
  <dcterms:modified xsi:type="dcterms:W3CDTF">2023-12-21T14:21:00Z</dcterms:modified>
</cp:coreProperties>
</file>