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w:t>
      </w:r>
      <w:bookmarkStart w:id="0" w:name="_GoBack"/>
      <w:r w:rsidRPr="00A9509A">
        <w:rPr>
          <w:b/>
          <w:caps/>
          <w:sz w:val="28"/>
          <w:szCs w:val="28"/>
        </w:rPr>
        <w:t>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bookmarkEnd w:id="0"/>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326A2F">
        <w:t xml:space="preserve">lapkričio </w:t>
      </w:r>
      <w:r w:rsidR="00ED77A6">
        <w:t>30</w:t>
      </w:r>
      <w:r w:rsidR="00326A2F">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897133" w:rsidRDefault="00897133" w:rsidP="00897133">
      <w:pPr>
        <w:ind w:firstLine="720"/>
        <w:jc w:val="both"/>
      </w:pPr>
      <w:r>
        <w:t xml:space="preserve">Plungės rajono savivaldybės taryba </w:t>
      </w:r>
      <w:r w:rsidRPr="00DE2EB2">
        <w:rPr>
          <w:spacing w:val="40"/>
        </w:rPr>
        <w:t>nusprendžia</w:t>
      </w:r>
      <w:r>
        <w:t>:</w:t>
      </w:r>
    </w:p>
    <w:p w:rsidR="00897133" w:rsidRDefault="00897133" w:rsidP="00897133">
      <w:pPr>
        <w:tabs>
          <w:tab w:val="left" w:pos="0"/>
          <w:tab w:val="left" w:pos="1134"/>
        </w:tabs>
        <w:ind w:firstLine="720"/>
        <w:jc w:val="both"/>
      </w:pPr>
      <w:r w:rsidRPr="005A27C5">
        <w:t>Pakeisti Viešame aukcione parduodamo Savivaldybės nekilnojamojo turto ir kitų nekilnojamųjų daiktų sąraš</w:t>
      </w:r>
      <w:r w:rsidR="00E40339">
        <w:t>o</w:t>
      </w:r>
      <w:r w:rsidRPr="005A27C5">
        <w:t>, patvirtint</w:t>
      </w:r>
      <w:r w:rsidR="00E40339">
        <w:t>o</w:t>
      </w:r>
      <w:r w:rsidRPr="005A27C5">
        <w:t xml:space="preserve"> Plungės rajono savivaldybės tarybos 2021 m. gruodžio 27 d. sprendimu Nr. T1-345 „Dėl Viešame aukcione parduodamo Savivaldybės nekilnojamojo turto ir kitų nekilnojamųjų daiktų sąrašo </w:t>
      </w:r>
      <w:r w:rsidR="00973AC0">
        <w:t>patvirtinimo“, 18</w:t>
      </w:r>
      <w:r w:rsidRPr="00E40339">
        <w:t xml:space="preserve"> eilutę ir išdėstyti</w:t>
      </w:r>
      <w:r>
        <w:t xml:space="preserve"> ją taip: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1984"/>
      </w:tblGrid>
      <w:tr w:rsidR="00897133" w:rsidRPr="007402A5" w:rsidTr="00C950D7">
        <w:trPr>
          <w:trHeight w:val="902"/>
        </w:trPr>
        <w:tc>
          <w:tcPr>
            <w:tcW w:w="709"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ind w:right="-108"/>
              <w:rPr>
                <w:b/>
              </w:rPr>
            </w:pPr>
            <w:r w:rsidRPr="007402A5">
              <w:rPr>
                <w:b/>
              </w:rPr>
              <w:t>Eil. Nr.</w:t>
            </w:r>
          </w:p>
        </w:tc>
        <w:tc>
          <w:tcPr>
            <w:tcW w:w="6946" w:type="dxa"/>
            <w:tcBorders>
              <w:top w:val="single" w:sz="4" w:space="0" w:color="auto"/>
              <w:left w:val="single" w:sz="4" w:space="0" w:color="auto"/>
              <w:bottom w:val="single" w:sz="4" w:space="0" w:color="auto"/>
              <w:right w:val="single" w:sz="4" w:space="0" w:color="auto"/>
            </w:tcBorders>
            <w:hideMark/>
          </w:tcPr>
          <w:p w:rsidR="00897133" w:rsidRPr="007402A5" w:rsidRDefault="00897133" w:rsidP="00C950D7">
            <w:pPr>
              <w:jc w:val="center"/>
              <w:rPr>
                <w:b/>
              </w:rPr>
            </w:pPr>
            <w:r w:rsidRPr="007402A5">
              <w:rPr>
                <w:b/>
              </w:rPr>
              <w:t>Viešame aukcione parduodamo nekilnojamojo turto pavadinimas (unikalus Nr., adresas)</w:t>
            </w:r>
          </w:p>
        </w:tc>
        <w:tc>
          <w:tcPr>
            <w:tcW w:w="1984" w:type="dxa"/>
            <w:tcBorders>
              <w:top w:val="single" w:sz="4" w:space="0" w:color="auto"/>
              <w:left w:val="single" w:sz="4" w:space="0" w:color="auto"/>
              <w:bottom w:val="single" w:sz="4" w:space="0" w:color="auto"/>
              <w:right w:val="single" w:sz="4" w:space="0" w:color="auto"/>
            </w:tcBorders>
          </w:tcPr>
          <w:p w:rsidR="00897133" w:rsidRPr="007402A5" w:rsidRDefault="00897133" w:rsidP="00C950D7">
            <w:pPr>
              <w:jc w:val="center"/>
              <w:rPr>
                <w:b/>
              </w:rPr>
            </w:pPr>
            <w:r w:rsidRPr="007402A5">
              <w:rPr>
                <w:b/>
              </w:rPr>
              <w:t xml:space="preserve">Nekilnojamojo turto likutinė vertė, </w:t>
            </w:r>
            <w:proofErr w:type="spellStart"/>
            <w:r w:rsidRPr="007402A5">
              <w:rPr>
                <w:b/>
              </w:rPr>
              <w:t>Eur</w:t>
            </w:r>
            <w:proofErr w:type="spellEnd"/>
          </w:p>
        </w:tc>
      </w:tr>
      <w:tr w:rsidR="00897133" w:rsidRPr="002F462C" w:rsidTr="00ED77A6">
        <w:trPr>
          <w:trHeight w:val="3097"/>
        </w:trPr>
        <w:tc>
          <w:tcPr>
            <w:tcW w:w="709" w:type="dxa"/>
            <w:tcBorders>
              <w:top w:val="single" w:sz="4" w:space="0" w:color="auto"/>
              <w:left w:val="single" w:sz="4" w:space="0" w:color="auto"/>
              <w:bottom w:val="single" w:sz="4" w:space="0" w:color="auto"/>
              <w:right w:val="single" w:sz="4" w:space="0" w:color="auto"/>
            </w:tcBorders>
            <w:vAlign w:val="center"/>
          </w:tcPr>
          <w:p w:rsidR="00897133" w:rsidRDefault="00973AC0" w:rsidP="00897133">
            <w:r>
              <w:t>18</w:t>
            </w:r>
            <w:r w:rsidR="00897133">
              <w:t>.</w:t>
            </w:r>
          </w:p>
        </w:tc>
        <w:tc>
          <w:tcPr>
            <w:tcW w:w="6946" w:type="dxa"/>
            <w:shd w:val="clear" w:color="auto" w:fill="auto"/>
          </w:tcPr>
          <w:p w:rsidR="00897133" w:rsidRDefault="00973AC0" w:rsidP="00AE6212">
            <w:pPr>
              <w:tabs>
                <w:tab w:val="left" w:pos="347"/>
              </w:tabs>
              <w:jc w:val="both"/>
            </w:pPr>
            <w:r w:rsidRPr="00973AC0">
              <w:rPr>
                <w:shd w:val="clear" w:color="auto" w:fill="FFFFFF"/>
              </w:rPr>
              <w:t xml:space="preserve">Pastatas – Mokykla (unikalus Nr. 6896-2010-1014, registro Nr. </w:t>
            </w:r>
            <w:r>
              <w:t>44/2824130</w:t>
            </w:r>
            <w:r w:rsidRPr="00973AC0">
              <w:rPr>
                <w:shd w:val="clear" w:color="auto" w:fill="FFFFFF"/>
              </w:rPr>
              <w:t>, pastato pažymėjimas plane 1C2p, bendras plotas – 2089,52 kv. m, statybos metai 1962), esantis Mokyklos g. 1, Stalgėnų k., Plungės r. sav.</w:t>
            </w:r>
            <w:r>
              <w:rPr>
                <w:shd w:val="clear" w:color="auto" w:fill="FFFFFF"/>
              </w:rPr>
              <w:t xml:space="preserve">, </w:t>
            </w:r>
            <w:r w:rsidR="00897133">
              <w:t>su priklausiniais:</w:t>
            </w:r>
            <w:r w:rsidR="008673E0">
              <w:t xml:space="preserve"> </w:t>
            </w:r>
          </w:p>
          <w:p w:rsidR="008673E0" w:rsidRDefault="008673E0" w:rsidP="008F16B4">
            <w:pPr>
              <w:jc w:val="both"/>
            </w:pPr>
            <w:r>
              <w:t>kitai</w:t>
            </w:r>
            <w:r w:rsidR="00E8522C">
              <w:t xml:space="preserve">s inžineriniais statiniais – </w:t>
            </w:r>
            <w:r w:rsidR="00973AC0">
              <w:t>Kanalizacijos šuliniu</w:t>
            </w:r>
            <w:r w:rsidR="00E8522C">
              <w:t xml:space="preserve"> (unikalus Nr.4400-</w:t>
            </w:r>
            <w:r w:rsidR="00973AC0">
              <w:t>6078-1073</w:t>
            </w:r>
            <w:r w:rsidR="00E8522C">
              <w:t xml:space="preserve">, registro Nr. </w:t>
            </w:r>
            <w:r w:rsidR="00973AC0">
              <w:t>44/2824130</w:t>
            </w:r>
            <w:r w:rsidR="00E8522C">
              <w:t>, pažymėjimas plane k</w:t>
            </w:r>
            <w:r w:rsidR="00973AC0">
              <w:t>13</w:t>
            </w:r>
            <w:r w:rsidR="00E8522C">
              <w:t xml:space="preserve">), </w:t>
            </w:r>
          </w:p>
          <w:p w:rsidR="00E8522C" w:rsidRDefault="00E8522C" w:rsidP="008F16B4">
            <w:pPr>
              <w:jc w:val="both"/>
            </w:pPr>
            <w:r>
              <w:t>kitais inžineriniais statiniais – Kanalizacijos šuliniu (unikalus Nr. 4400-</w:t>
            </w:r>
            <w:r w:rsidR="00973AC0">
              <w:t>6078-1095</w:t>
            </w:r>
            <w:r>
              <w:t xml:space="preserve">, registro Nr. </w:t>
            </w:r>
            <w:r w:rsidR="00973AC0">
              <w:t>44/2824130, pažymėjimas plane k15</w:t>
            </w:r>
            <w:r>
              <w:t xml:space="preserve">), </w:t>
            </w:r>
          </w:p>
          <w:p w:rsidR="00E8522C" w:rsidRPr="00C302C8" w:rsidRDefault="00E8522C" w:rsidP="00AE6212">
            <w:pPr>
              <w:jc w:val="both"/>
            </w:pPr>
            <w:r w:rsidRPr="00E8522C">
              <w:t>kitais inžineriniais statiniais – Kanalizacijos šuli</w:t>
            </w:r>
            <w:r>
              <w:t>niu (unikalus Nr. 4400-</w:t>
            </w:r>
            <w:r w:rsidR="00973AC0">
              <w:t>6078-1084</w:t>
            </w:r>
            <w:r w:rsidRPr="00E8522C">
              <w:t>, registro Nr.</w:t>
            </w:r>
            <w:r>
              <w:t xml:space="preserve"> </w:t>
            </w:r>
            <w:r w:rsidR="00973AC0">
              <w:t>44/2824130, pažymėjimas plane k16</w:t>
            </w:r>
            <w:r w:rsidRPr="00E8522C">
              <w:t>),</w:t>
            </w:r>
            <w:r>
              <w:t xml:space="preserve"> esančiais Mok</w:t>
            </w:r>
            <w:r w:rsidR="00973AC0">
              <w:t>yklos g. 1</w:t>
            </w:r>
            <w:r>
              <w:t>, Sta</w:t>
            </w:r>
            <w:r w:rsidR="00973AC0">
              <w:t>lgėnų</w:t>
            </w:r>
            <w:r>
              <w:t xml:space="preserve"> k., Plungės r. sav.</w:t>
            </w:r>
          </w:p>
        </w:tc>
        <w:tc>
          <w:tcPr>
            <w:tcW w:w="1984" w:type="dxa"/>
            <w:shd w:val="clear" w:color="auto" w:fill="auto"/>
            <w:vAlign w:val="center"/>
          </w:tcPr>
          <w:p w:rsidR="008C2A3A" w:rsidRPr="001D65B2" w:rsidRDefault="001D65B2" w:rsidP="002315F1">
            <w:pPr>
              <w:jc w:val="center"/>
            </w:pPr>
            <w:r w:rsidRPr="001D65B2">
              <w:rPr>
                <w:shd w:val="clear" w:color="auto" w:fill="FFFFFF"/>
              </w:rPr>
              <w:t>174 892,54</w:t>
            </w:r>
          </w:p>
          <w:p w:rsidR="008C2A3A" w:rsidRPr="008C2A3A" w:rsidRDefault="008C2A3A" w:rsidP="00897133">
            <w:pPr>
              <w:jc w:val="center"/>
            </w:pPr>
          </w:p>
          <w:p w:rsidR="002315F1" w:rsidRDefault="002315F1" w:rsidP="00897133">
            <w:pPr>
              <w:jc w:val="center"/>
            </w:pPr>
          </w:p>
          <w:p w:rsidR="002315F1" w:rsidRDefault="002315F1" w:rsidP="00897133">
            <w:pPr>
              <w:jc w:val="center"/>
            </w:pPr>
          </w:p>
          <w:p w:rsidR="008C2A3A"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E8522C" w:rsidRDefault="008C2A3A" w:rsidP="00897133">
            <w:pPr>
              <w:jc w:val="center"/>
            </w:pPr>
            <w:r>
              <w:t>0,00</w:t>
            </w:r>
          </w:p>
          <w:p w:rsidR="00E8522C" w:rsidRDefault="00E8522C" w:rsidP="00897133">
            <w:pPr>
              <w:jc w:val="center"/>
            </w:pPr>
          </w:p>
          <w:p w:rsidR="00897133" w:rsidRPr="00C302C8" w:rsidRDefault="00897133" w:rsidP="008C2A3A"/>
        </w:tc>
      </w:tr>
    </w:tbl>
    <w:p w:rsidR="00897133" w:rsidRDefault="00897133" w:rsidP="00897133">
      <w:pPr>
        <w:jc w:val="both"/>
      </w:pPr>
    </w:p>
    <w:p w:rsidR="00557342" w:rsidRDefault="00557342" w:rsidP="00897133">
      <w:pPr>
        <w:jc w:val="both"/>
      </w:pPr>
    </w:p>
    <w:p w:rsidR="00897133" w:rsidRDefault="00897133" w:rsidP="00897133">
      <w:pPr>
        <w:jc w:val="both"/>
      </w:pPr>
      <w:r>
        <w:t>Savivaldybės meras</w:t>
      </w:r>
      <w:r>
        <w:tab/>
      </w:r>
      <w:r>
        <w:tab/>
      </w:r>
      <w:r>
        <w:tab/>
        <w:t xml:space="preserve">          </w:t>
      </w:r>
      <w:r>
        <w:tab/>
      </w:r>
      <w:r>
        <w:tab/>
      </w:r>
    </w:p>
    <w:p w:rsidR="00897133" w:rsidRDefault="00897133" w:rsidP="00897133">
      <w:pPr>
        <w:ind w:firstLine="737"/>
        <w:jc w:val="both"/>
      </w:pPr>
    </w:p>
    <w:p w:rsidR="00967C01" w:rsidRDefault="00967C01" w:rsidP="00183A81"/>
    <w:p w:rsidR="00557342" w:rsidRDefault="00557342" w:rsidP="00183A81"/>
    <w:p w:rsidR="00557342" w:rsidRDefault="00557342" w:rsidP="00183A81"/>
    <w:p w:rsidR="00557342" w:rsidRDefault="00557342" w:rsidP="00183A81"/>
    <w:p w:rsidR="00183A81" w:rsidRDefault="00183A81" w:rsidP="00183A81">
      <w:r>
        <w:t>SUDERINTA:</w:t>
      </w:r>
    </w:p>
    <w:p w:rsidR="003A5837" w:rsidRDefault="003A5837" w:rsidP="00183A81">
      <w:r>
        <w:t xml:space="preserve">Savivaldybės </w:t>
      </w:r>
      <w:r w:rsidR="00730F75">
        <w:t>tarybos narys Algirdas Pečiulis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B24151">
        <w:t>vedėjas Vytautas Tumas</w:t>
      </w:r>
    </w:p>
    <w:p w:rsidR="003A5837" w:rsidRDefault="003A5837" w:rsidP="003A5837">
      <w:r>
        <w:t xml:space="preserve">Protokolo skyriaus kalbos tvarkytoja Simona Grigalauskaitė </w:t>
      </w:r>
    </w:p>
    <w:p w:rsidR="00183A81" w:rsidRDefault="00183A81" w:rsidP="00183A81"/>
    <w:p w:rsidR="00ED77A6" w:rsidRDefault="00183A81" w:rsidP="006567C9">
      <w:pPr>
        <w:rPr>
          <w:b/>
        </w:rPr>
      </w:pPr>
      <w:r>
        <w:t>Sprendimą rengė Turto skyriaus vyr. specialistė Inga Daublienė</w:t>
      </w:r>
    </w:p>
    <w:p w:rsidR="00ED77A6" w:rsidRDefault="00ED77A6">
      <w:pPr>
        <w:jc w:val="center"/>
        <w:rPr>
          <w:b/>
        </w:rPr>
      </w:pP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sidR="00F37E26">
              <w:rPr>
                <w:szCs w:val="20"/>
                <w:lang w:eastAsia="en-US"/>
              </w:rPr>
              <w:t>lapkričio 10</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Pr="00AA5DE8" w:rsidRDefault="00F029A7" w:rsidP="00E40339">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uždaviniai.</w:t>
      </w:r>
      <w:r w:rsidR="00B63964" w:rsidRPr="00AA5DE8">
        <w:rPr>
          <w:b/>
          <w:szCs w:val="20"/>
          <w:lang w:eastAsia="en-US"/>
        </w:rPr>
        <w:t xml:space="preserve"> </w:t>
      </w:r>
      <w:r w:rsidR="00884447" w:rsidRPr="005A27C5">
        <w:t>Pakeisti Viešame aukcione parduodamo Savivaldybės nekilnojamojo turto ir kitų nekilnojamųjų daiktų sąraš</w:t>
      </w:r>
      <w:r w:rsidR="00967C01">
        <w:t>o</w:t>
      </w:r>
      <w:r w:rsidR="00884447" w:rsidRPr="005A27C5">
        <w:t>, patvirtint</w:t>
      </w:r>
      <w:r w:rsidR="00967C01">
        <w:t>o</w:t>
      </w:r>
      <w:r w:rsidR="00884447" w:rsidRPr="005A27C5">
        <w:t xml:space="preserve"> Plungės rajono savivaldybės tarybos 2021 m. gruodžio 27 d. sprendimu Nr. T1-345 „Dėl Viešame aukcione parduodamo Savivaldybės nekilnojamojo turto ir kitų nekilnojamųjų daiktų sąrašo patvirtinimo“</w:t>
      </w:r>
      <w:r w:rsidR="00884447">
        <w:t xml:space="preserve">, </w:t>
      </w:r>
      <w:r w:rsidR="00973AC0">
        <w:t>18</w:t>
      </w:r>
      <w:r w:rsidR="00884447" w:rsidRPr="00E40339">
        <w:t xml:space="preserve"> eilutę</w:t>
      </w:r>
      <w:r w:rsidR="00B63964" w:rsidRPr="00E40339">
        <w:rPr>
          <w:rFonts w:eastAsia="Lucida Sans Unicode"/>
          <w:kern w:val="1"/>
        </w:rPr>
        <w:t>.</w:t>
      </w:r>
    </w:p>
    <w:p w:rsidR="00F029A7" w:rsidRPr="00AA5DE8" w:rsidRDefault="00F029A7">
      <w:pPr>
        <w:autoSpaceDE w:val="0"/>
        <w:autoSpaceDN w:val="0"/>
        <w:adjustRightInd w:val="0"/>
        <w:ind w:firstLine="720"/>
        <w:jc w:val="both"/>
        <w:rPr>
          <w:rFonts w:eastAsia="TimesNewRomanPSMT"/>
          <w:b/>
          <w:lang w:eastAsia="en-US"/>
        </w:rPr>
      </w:pPr>
      <w:r w:rsidRPr="00AA5DE8">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sidRPr="00AA5DE8">
        <w:rPr>
          <w:rFonts w:eastAsia="TimesNewRomanPSMT"/>
          <w:b/>
          <w:lang w:eastAsia="en-US"/>
        </w:rPr>
        <w:t xml:space="preserve"> </w:t>
      </w:r>
      <w:r w:rsidR="00884447">
        <w:rPr>
          <w:rFonts w:eastAsia="TimesNewRomanPSMT"/>
          <w:lang w:eastAsia="en-US"/>
        </w:rPr>
        <w:t>Atliku</w:t>
      </w:r>
      <w:r w:rsidR="00884447" w:rsidRPr="00884447">
        <w:rPr>
          <w:rFonts w:eastAsia="TimesNewRomanPSMT"/>
          <w:lang w:eastAsia="en-US"/>
        </w:rPr>
        <w:t>s</w:t>
      </w:r>
      <w:r w:rsidR="00884447">
        <w:rPr>
          <w:rFonts w:eastAsia="TimesNewRomanPSMT"/>
          <w:lang w:eastAsia="en-US"/>
        </w:rPr>
        <w:t xml:space="preserve"> žemės sklypo ir kitų inžinerinių</w:t>
      </w:r>
      <w:r w:rsidR="00973AC0">
        <w:rPr>
          <w:rFonts w:eastAsia="TimesNewRomanPSMT"/>
          <w:lang w:eastAsia="en-US"/>
        </w:rPr>
        <w:t xml:space="preserve"> statinių, esančių Mokyklos g. 1, </w:t>
      </w:r>
      <w:proofErr w:type="spellStart"/>
      <w:r w:rsidR="00973AC0">
        <w:rPr>
          <w:rFonts w:eastAsia="TimesNewRomanPSMT"/>
          <w:lang w:eastAsia="en-US"/>
        </w:rPr>
        <w:t>Stalgėnuose</w:t>
      </w:r>
      <w:proofErr w:type="spellEnd"/>
      <w:r w:rsidR="00E40339">
        <w:rPr>
          <w:rFonts w:eastAsia="TimesNewRomanPSMT"/>
          <w:lang w:eastAsia="en-US"/>
        </w:rPr>
        <w:t>,</w:t>
      </w:r>
      <w:r w:rsidR="00884447">
        <w:rPr>
          <w:rFonts w:eastAsia="TimesNewRomanPSMT"/>
          <w:lang w:eastAsia="en-US"/>
        </w:rPr>
        <w:t xml:space="preserve"> padalinimą</w:t>
      </w:r>
      <w:r w:rsidR="00967C01">
        <w:rPr>
          <w:rFonts w:eastAsia="TimesNewRomanPSMT"/>
          <w:lang w:eastAsia="en-US"/>
        </w:rPr>
        <w:t>,</w:t>
      </w:r>
      <w:r w:rsidR="00884447">
        <w:rPr>
          <w:rFonts w:eastAsia="TimesNewRomanPSMT"/>
          <w:lang w:eastAsia="en-US"/>
        </w:rPr>
        <w:t xml:space="preserve"> </w:t>
      </w:r>
      <w:r w:rsidR="00884447" w:rsidRPr="00967839">
        <w:rPr>
          <w:rFonts w:eastAsia="TimesNewRomanPSMT"/>
          <w:lang w:eastAsia="en-US"/>
        </w:rPr>
        <w:t xml:space="preserve">reikia papildyti </w:t>
      </w:r>
      <w:r w:rsidR="00967839" w:rsidRPr="006567C9">
        <w:rPr>
          <w:rFonts w:eastAsia="TimesNewRomanPSMT"/>
          <w:lang w:eastAsia="en-US"/>
        </w:rPr>
        <w:t>V</w:t>
      </w:r>
      <w:r w:rsidR="00884447" w:rsidRPr="00967839">
        <w:rPr>
          <w:rFonts w:eastAsia="TimesNewRomanPSMT"/>
          <w:lang w:eastAsia="en-US"/>
        </w:rPr>
        <w:t>iešame aukcione parduoda</w:t>
      </w:r>
      <w:r w:rsidR="00973AC0" w:rsidRPr="00967839">
        <w:rPr>
          <w:rFonts w:eastAsia="TimesNewRomanPSMT"/>
          <w:lang w:eastAsia="en-US"/>
        </w:rPr>
        <w:t>mo</w:t>
      </w:r>
      <w:r w:rsidR="00973AC0">
        <w:rPr>
          <w:rFonts w:eastAsia="TimesNewRomanPSMT"/>
          <w:lang w:eastAsia="en-US"/>
        </w:rPr>
        <w:t xml:space="preserve"> nekilnojamojo turto sąrašo 18</w:t>
      </w:r>
      <w:r w:rsidR="00884447">
        <w:rPr>
          <w:rFonts w:eastAsia="TimesNewRomanPSMT"/>
          <w:lang w:eastAsia="en-US"/>
        </w:rPr>
        <w:t xml:space="preserve"> eilutę 3 vnt. kanalizacijos šulinių. Administracija siūlo p</w:t>
      </w:r>
      <w:r w:rsidR="008F415C" w:rsidRPr="00AA5DE8">
        <w:rPr>
          <w:bCs/>
        </w:rPr>
        <w:t xml:space="preserve">akeisti </w:t>
      </w:r>
      <w:r w:rsidR="00B63964" w:rsidRPr="00AA5DE8">
        <w:rPr>
          <w:bCs/>
        </w:rPr>
        <w:t>Plungės rajono savivaldybės tarybos 2021 m. gruodžio 27 d. sprendim</w:t>
      </w:r>
      <w:r w:rsidR="00967C01">
        <w:rPr>
          <w:bCs/>
        </w:rPr>
        <w:t>o</w:t>
      </w:r>
      <w:r w:rsidR="00B63964" w:rsidRPr="00AA5DE8">
        <w:rPr>
          <w:bCs/>
        </w:rPr>
        <w:t xml:space="preserve"> Nr. T1-345 „Dėl Viešame aukcione parduodamo savivaldybės nekilnojamojo turto ir kitų nekilnojamųjų daiktų sąrašo patvirtinimo“</w:t>
      </w:r>
      <w:r w:rsidR="00973AC0">
        <w:rPr>
          <w:bCs/>
        </w:rPr>
        <w:t xml:space="preserve"> 18</w:t>
      </w:r>
      <w:r w:rsidR="00967C01">
        <w:rPr>
          <w:bCs/>
        </w:rPr>
        <w:t xml:space="preserve"> eilutę</w:t>
      </w:r>
      <w:r w:rsidR="00B63964" w:rsidRPr="00AA5DE8">
        <w:rPr>
          <w:bCs/>
        </w:rPr>
        <w:t>.</w:t>
      </w:r>
    </w:p>
    <w:p w:rsidR="00F029A7" w:rsidRPr="00AA5DE8" w:rsidRDefault="00F029A7">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w:t>
      </w:r>
      <w:r w:rsidR="00B63964" w:rsidRPr="00AA5DE8">
        <w:rPr>
          <w:b/>
          <w:szCs w:val="20"/>
          <w:lang w:eastAsia="en-US"/>
        </w:rPr>
        <w:t xml:space="preserve"> </w:t>
      </w:r>
      <w:r w:rsidR="00361782">
        <w:rPr>
          <w:szCs w:val="20"/>
          <w:lang w:eastAsia="en-US"/>
        </w:rPr>
        <w:t xml:space="preserve">Pastatui – </w:t>
      </w:r>
      <w:r w:rsidR="00557342">
        <w:rPr>
          <w:szCs w:val="20"/>
          <w:lang w:eastAsia="en-US"/>
        </w:rPr>
        <w:t>M</w:t>
      </w:r>
      <w:r w:rsidR="00884447">
        <w:rPr>
          <w:szCs w:val="20"/>
          <w:lang w:eastAsia="en-US"/>
        </w:rPr>
        <w:t>okyklai turi būti priskirti aptarnaujantys priklausiniai, tam</w:t>
      </w:r>
      <w:r w:rsidR="00557342">
        <w:rPr>
          <w:szCs w:val="20"/>
          <w:lang w:eastAsia="en-US"/>
        </w:rPr>
        <w:t>,</w:t>
      </w:r>
      <w:r w:rsidR="00884447">
        <w:rPr>
          <w:szCs w:val="20"/>
          <w:lang w:eastAsia="en-US"/>
        </w:rPr>
        <w:t xml:space="preserve"> kad būtų galima eksploatuoti statinį ir naudingiau parduoti viešame aukcione.</w:t>
      </w:r>
    </w:p>
    <w:p w:rsidR="00F029A7" w:rsidRPr="00F029A7" w:rsidRDefault="00F029A7">
      <w:pPr>
        <w:ind w:firstLine="720"/>
        <w:jc w:val="both"/>
        <w:rPr>
          <w:szCs w:val="20"/>
          <w:lang w:eastAsia="en-US"/>
        </w:rPr>
      </w:pPr>
      <w:r w:rsidRPr="00AA5DE8">
        <w:rPr>
          <w:rFonts w:eastAsia="TimesNewRomanPSMT"/>
          <w:b/>
          <w:lang w:eastAsia="en-US"/>
        </w:rPr>
        <w:t xml:space="preserve">4. </w:t>
      </w:r>
      <w:r w:rsidRPr="00AA5DE8">
        <w:rPr>
          <w:b/>
          <w:szCs w:val="20"/>
          <w:lang w:eastAsia="en-US"/>
        </w:rPr>
        <w:t>Lėšų poreikis ir finansavimo šaltiniai.</w:t>
      </w:r>
      <w:r w:rsidR="00B63964" w:rsidRPr="00AA5DE8">
        <w:rPr>
          <w:b/>
          <w:szCs w:val="20"/>
          <w:lang w:eastAsia="en-US"/>
        </w:rPr>
        <w:t xml:space="preserve"> </w:t>
      </w:r>
      <w:r w:rsidR="00B63964" w:rsidRPr="00AA5DE8">
        <w:rPr>
          <w:szCs w:val="20"/>
          <w:lang w:eastAsia="en-US"/>
        </w:rPr>
        <w:t>Bus reikalingos lėšos turto vertinimui.</w:t>
      </w:r>
      <w:r w:rsidR="00B63964" w:rsidRPr="00B63964">
        <w:rPr>
          <w:szCs w:val="20"/>
          <w:lang w:eastAsia="en-US"/>
        </w:rPr>
        <w:t xml:space="preserve"> </w:t>
      </w:r>
    </w:p>
    <w:p w:rsidR="00F029A7" w:rsidRPr="00F029A7" w:rsidRDefault="00F029A7" w:rsidP="00EC07A7">
      <w:pPr>
        <w:tabs>
          <w:tab w:val="left" w:pos="993"/>
        </w:tabs>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884447" w:rsidRPr="00F029A7" w:rsidRDefault="00F029A7">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6534"/>
        <w:gridCol w:w="1858"/>
      </w:tblGrid>
      <w:tr w:rsidR="00884447" w:rsidRPr="00884447" w:rsidTr="00973AC0">
        <w:trPr>
          <w:trHeight w:val="756"/>
        </w:trPr>
        <w:tc>
          <w:tcPr>
            <w:tcW w:w="1236" w:type="dxa"/>
            <w:shd w:val="clear" w:color="auto" w:fill="auto"/>
          </w:tcPr>
          <w:p w:rsidR="00884447" w:rsidRPr="00884447" w:rsidRDefault="00884447" w:rsidP="008F16B4">
            <w:pPr>
              <w:jc w:val="center"/>
              <w:rPr>
                <w:b/>
                <w:szCs w:val="20"/>
                <w:lang w:eastAsia="en-US"/>
              </w:rPr>
            </w:pPr>
            <w:r w:rsidRPr="00884447">
              <w:rPr>
                <w:b/>
                <w:szCs w:val="20"/>
                <w:lang w:eastAsia="en-US"/>
              </w:rPr>
              <w:t>Eil. Nr.</w:t>
            </w:r>
          </w:p>
        </w:tc>
        <w:tc>
          <w:tcPr>
            <w:tcW w:w="6534" w:type="dxa"/>
            <w:shd w:val="clear" w:color="auto" w:fill="auto"/>
          </w:tcPr>
          <w:p w:rsidR="00884447" w:rsidRPr="00884447" w:rsidRDefault="00884447" w:rsidP="00E40339">
            <w:pPr>
              <w:jc w:val="center"/>
              <w:rPr>
                <w:b/>
                <w:szCs w:val="20"/>
                <w:lang w:eastAsia="en-US"/>
              </w:rPr>
            </w:pPr>
            <w:r w:rsidRPr="00884447">
              <w:rPr>
                <w:b/>
                <w:szCs w:val="20"/>
                <w:lang w:eastAsia="en-US"/>
              </w:rPr>
              <w:t>Viešame aukcione parduodamo nekilnojamojo turto pavadinimas (unikalus Nr., adresas)</w:t>
            </w:r>
          </w:p>
        </w:tc>
        <w:tc>
          <w:tcPr>
            <w:tcW w:w="1858" w:type="dxa"/>
            <w:shd w:val="clear" w:color="auto" w:fill="auto"/>
          </w:tcPr>
          <w:p w:rsidR="00884447" w:rsidRPr="00884447" w:rsidRDefault="00884447" w:rsidP="00E40339">
            <w:pPr>
              <w:jc w:val="center"/>
              <w:rPr>
                <w:b/>
                <w:szCs w:val="20"/>
                <w:lang w:eastAsia="en-US"/>
              </w:rPr>
            </w:pPr>
            <w:r w:rsidRPr="00884447">
              <w:rPr>
                <w:b/>
                <w:szCs w:val="20"/>
                <w:lang w:eastAsia="en-US"/>
              </w:rPr>
              <w:t xml:space="preserve">Nekilnojamojo turto likutinė vertė, </w:t>
            </w:r>
            <w:proofErr w:type="spellStart"/>
            <w:r w:rsidRPr="00884447">
              <w:rPr>
                <w:b/>
                <w:szCs w:val="20"/>
                <w:lang w:eastAsia="en-US"/>
              </w:rPr>
              <w:t>Eur</w:t>
            </w:r>
            <w:proofErr w:type="spellEnd"/>
          </w:p>
        </w:tc>
      </w:tr>
      <w:tr w:rsidR="00973AC0" w:rsidRPr="00884447" w:rsidTr="00973AC0">
        <w:trPr>
          <w:trHeight w:val="1151"/>
        </w:trPr>
        <w:tc>
          <w:tcPr>
            <w:tcW w:w="1236" w:type="dxa"/>
            <w:shd w:val="clear" w:color="auto" w:fill="auto"/>
          </w:tcPr>
          <w:p w:rsidR="00973AC0" w:rsidRPr="00884447" w:rsidRDefault="00973AC0" w:rsidP="00973AC0">
            <w:pPr>
              <w:ind w:firstLine="720"/>
              <w:jc w:val="both"/>
              <w:rPr>
                <w:szCs w:val="20"/>
                <w:lang w:eastAsia="en-US"/>
              </w:rPr>
            </w:pPr>
            <w:r>
              <w:rPr>
                <w:szCs w:val="20"/>
                <w:lang w:eastAsia="en-US"/>
              </w:rPr>
              <w:t>18</w:t>
            </w:r>
            <w:r w:rsidRPr="00884447">
              <w:rPr>
                <w:szCs w:val="20"/>
                <w:lang w:eastAsia="en-US"/>
              </w:rPr>
              <w:t>.</w:t>
            </w:r>
          </w:p>
        </w:tc>
        <w:tc>
          <w:tcPr>
            <w:tcW w:w="6534" w:type="dxa"/>
            <w:shd w:val="clear" w:color="auto" w:fill="auto"/>
          </w:tcPr>
          <w:p w:rsidR="00973AC0" w:rsidRPr="00C302C8" w:rsidRDefault="00973AC0" w:rsidP="00973AC0">
            <w:pPr>
              <w:jc w:val="both"/>
            </w:pPr>
            <w:r w:rsidRPr="00C302C8">
              <w:t>Pastatas – Mokykla (unikalus Nr. 6896-2010-1014, registro Nr. 44/718258, pastato pažymėjimas plane 1C2p, bendras plotas – 2089,52 kv. m, statybos metai 1962), esanti</w:t>
            </w:r>
            <w:r>
              <w:t>s</w:t>
            </w:r>
            <w:r w:rsidRPr="00C302C8">
              <w:t xml:space="preserve"> Mokyklos g. 1, Stalgėnų k., Plungės r. sav. </w:t>
            </w:r>
          </w:p>
        </w:tc>
        <w:tc>
          <w:tcPr>
            <w:tcW w:w="1858" w:type="dxa"/>
            <w:shd w:val="clear" w:color="auto" w:fill="auto"/>
            <w:vAlign w:val="center"/>
          </w:tcPr>
          <w:p w:rsidR="00973AC0" w:rsidRPr="00C302C8" w:rsidRDefault="00973AC0" w:rsidP="00973AC0">
            <w:pPr>
              <w:jc w:val="center"/>
            </w:pPr>
            <w:r w:rsidRPr="00C302C8">
              <w:t>175 305,02</w:t>
            </w:r>
          </w:p>
          <w:p w:rsidR="00973AC0" w:rsidRPr="00C302C8" w:rsidRDefault="00973AC0" w:rsidP="00973AC0">
            <w:pPr>
              <w:jc w:val="center"/>
            </w:pPr>
          </w:p>
          <w:p w:rsidR="00973AC0" w:rsidRPr="00C302C8" w:rsidRDefault="00973AC0" w:rsidP="00973AC0">
            <w:pPr>
              <w:jc w:val="center"/>
            </w:pPr>
          </w:p>
        </w:tc>
      </w:tr>
    </w:tbl>
    <w:p w:rsidR="00F029A7" w:rsidRPr="004850FF" w:rsidRDefault="00F029A7" w:rsidP="00E40339">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F029A7">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Nenumatoma</w:t>
            </w:r>
            <w:r w:rsidR="00C02A7A">
              <w:rPr>
                <w:i/>
              </w:rPr>
              <w:t>s</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r w:rsidR="00C02A7A">
              <w:rPr>
                <w:i/>
              </w:rPr>
              <w:t>s</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8F16B4">
      <w:pP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0F93"/>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5B2"/>
    <w:rsid w:val="001D6FA5"/>
    <w:rsid w:val="001E69F3"/>
    <w:rsid w:val="001F225E"/>
    <w:rsid w:val="001F4909"/>
    <w:rsid w:val="001F6CD2"/>
    <w:rsid w:val="00201D95"/>
    <w:rsid w:val="00204359"/>
    <w:rsid w:val="00204923"/>
    <w:rsid w:val="00206056"/>
    <w:rsid w:val="00215A97"/>
    <w:rsid w:val="00216E70"/>
    <w:rsid w:val="00224B4F"/>
    <w:rsid w:val="002315F1"/>
    <w:rsid w:val="0023548D"/>
    <w:rsid w:val="00237D8E"/>
    <w:rsid w:val="00241F12"/>
    <w:rsid w:val="0024799A"/>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A2F"/>
    <w:rsid w:val="00326B37"/>
    <w:rsid w:val="00330EAB"/>
    <w:rsid w:val="00331171"/>
    <w:rsid w:val="0033744D"/>
    <w:rsid w:val="003614CE"/>
    <w:rsid w:val="00361782"/>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3F14B0"/>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17565"/>
    <w:rsid w:val="00520CA2"/>
    <w:rsid w:val="00521141"/>
    <w:rsid w:val="0052246B"/>
    <w:rsid w:val="00533FD4"/>
    <w:rsid w:val="00536202"/>
    <w:rsid w:val="005420AB"/>
    <w:rsid w:val="005439FF"/>
    <w:rsid w:val="0054796C"/>
    <w:rsid w:val="0055360F"/>
    <w:rsid w:val="00555447"/>
    <w:rsid w:val="00556A91"/>
    <w:rsid w:val="00556FDC"/>
    <w:rsid w:val="00557342"/>
    <w:rsid w:val="005628F5"/>
    <w:rsid w:val="00564D6F"/>
    <w:rsid w:val="00564DAC"/>
    <w:rsid w:val="005758A9"/>
    <w:rsid w:val="00577823"/>
    <w:rsid w:val="00580B42"/>
    <w:rsid w:val="005869C5"/>
    <w:rsid w:val="00594FDA"/>
    <w:rsid w:val="0059544E"/>
    <w:rsid w:val="005A3E68"/>
    <w:rsid w:val="005B23AF"/>
    <w:rsid w:val="005B262B"/>
    <w:rsid w:val="005C3450"/>
    <w:rsid w:val="005D197D"/>
    <w:rsid w:val="005D3C9C"/>
    <w:rsid w:val="005D5F6A"/>
    <w:rsid w:val="005D61FB"/>
    <w:rsid w:val="005E1008"/>
    <w:rsid w:val="005E2F8F"/>
    <w:rsid w:val="005E3C24"/>
    <w:rsid w:val="005E4E3E"/>
    <w:rsid w:val="005E6DBC"/>
    <w:rsid w:val="005F7D85"/>
    <w:rsid w:val="00600B53"/>
    <w:rsid w:val="006019D8"/>
    <w:rsid w:val="00610397"/>
    <w:rsid w:val="0061204A"/>
    <w:rsid w:val="00612A37"/>
    <w:rsid w:val="00621693"/>
    <w:rsid w:val="006220C9"/>
    <w:rsid w:val="006334D3"/>
    <w:rsid w:val="0063418D"/>
    <w:rsid w:val="00637AC8"/>
    <w:rsid w:val="00646859"/>
    <w:rsid w:val="006540A8"/>
    <w:rsid w:val="0065636E"/>
    <w:rsid w:val="006567C9"/>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0F75"/>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097C"/>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0E86"/>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839"/>
    <w:rsid w:val="00967C01"/>
    <w:rsid w:val="00973AC0"/>
    <w:rsid w:val="00975B7D"/>
    <w:rsid w:val="00996DC2"/>
    <w:rsid w:val="009A1518"/>
    <w:rsid w:val="009A6B2E"/>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50CB"/>
    <w:rsid w:val="00A27940"/>
    <w:rsid w:val="00A32CC2"/>
    <w:rsid w:val="00A4266A"/>
    <w:rsid w:val="00A54F5C"/>
    <w:rsid w:val="00A56132"/>
    <w:rsid w:val="00A81F53"/>
    <w:rsid w:val="00A87BCB"/>
    <w:rsid w:val="00A87C13"/>
    <w:rsid w:val="00A90594"/>
    <w:rsid w:val="00A90FC9"/>
    <w:rsid w:val="00A938C7"/>
    <w:rsid w:val="00A9509A"/>
    <w:rsid w:val="00A9600B"/>
    <w:rsid w:val="00AA5DE8"/>
    <w:rsid w:val="00AC2B38"/>
    <w:rsid w:val="00AC4DBF"/>
    <w:rsid w:val="00AD1259"/>
    <w:rsid w:val="00AD2AE1"/>
    <w:rsid w:val="00AE6212"/>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4AA9"/>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C07A7"/>
    <w:rsid w:val="00ED77A6"/>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37E26"/>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5701"/>
    <w:rsid w:val="00FC623A"/>
    <w:rsid w:val="00FD4010"/>
    <w:rsid w:val="00FE1F6A"/>
    <w:rsid w:val="00FE3DAF"/>
    <w:rsid w:val="00FE5FFF"/>
    <w:rsid w:val="00FE7139"/>
    <w:rsid w:val="00FF3F43"/>
    <w:rsid w:val="00FF6219"/>
    <w:rsid w:val="00FF79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1DE94-2E2D-4E91-AB10-D4DE31F4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4177</Words>
  <Characters>2382</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2023-11-15T07:57:00Z</dcterms:created>
  <dcterms:modified xsi:type="dcterms:W3CDTF">2023-11-15T07:57:00Z</dcterms:modified>
</cp:coreProperties>
</file>