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BDA65" w14:textId="4CDE207C" w:rsidR="008060BE" w:rsidRPr="00722A55" w:rsidRDefault="00722A55" w:rsidP="00722A55">
      <w:pPr>
        <w:tabs>
          <w:tab w:val="left" w:pos="5595"/>
        </w:tabs>
        <w:jc w:val="right"/>
        <w:rPr>
          <w:b/>
        </w:rPr>
      </w:pPr>
      <w:bookmarkStart w:id="0" w:name="_GoBack"/>
      <w:bookmarkEnd w:id="0"/>
      <w:r w:rsidRPr="00722A55">
        <w:rPr>
          <w:b/>
        </w:rPr>
        <w:t>Lyginamasis variantas</w:t>
      </w:r>
    </w:p>
    <w:p w14:paraId="2DD48424" w14:textId="77777777" w:rsidR="00722A55" w:rsidRDefault="00722A55" w:rsidP="00722A55">
      <w:pPr>
        <w:tabs>
          <w:tab w:val="left" w:pos="5595"/>
        </w:tabs>
        <w:jc w:val="right"/>
      </w:pPr>
    </w:p>
    <w:p w14:paraId="0DD65B31" w14:textId="77777777" w:rsidR="00200080" w:rsidRDefault="00200080" w:rsidP="00200080">
      <w:pPr>
        <w:ind w:left="3888" w:firstLine="1296"/>
      </w:pPr>
      <w:r>
        <w:t>PATVIRTINTA</w:t>
      </w:r>
    </w:p>
    <w:p w14:paraId="73751C12" w14:textId="77777777" w:rsidR="00200080" w:rsidRDefault="00200080" w:rsidP="00200080">
      <w:pPr>
        <w:ind w:left="3888" w:firstLine="1296"/>
      </w:pPr>
      <w:r>
        <w:t xml:space="preserve">Plungės rajono savivaldybės </w:t>
      </w:r>
    </w:p>
    <w:p w14:paraId="6EC2E45C" w14:textId="5158DDE3" w:rsidR="00200080" w:rsidRPr="00E22F74" w:rsidRDefault="00200080" w:rsidP="00200080">
      <w:pPr>
        <w:ind w:left="3888" w:firstLine="1296"/>
      </w:pPr>
      <w:r>
        <w:t xml:space="preserve">tarybos </w:t>
      </w:r>
      <w:r w:rsidRPr="00E22F74">
        <w:t>202</w:t>
      </w:r>
      <w:r w:rsidR="00A94C94">
        <w:t>2</w:t>
      </w:r>
      <w:r w:rsidRPr="00E22F74">
        <w:t xml:space="preserve"> m. </w:t>
      </w:r>
      <w:r w:rsidR="00A94C94">
        <w:t>gruodži</w:t>
      </w:r>
      <w:r w:rsidR="00E22F74">
        <w:t>o</w:t>
      </w:r>
      <w:r w:rsidRPr="00E22F74">
        <w:t xml:space="preserve"> </w:t>
      </w:r>
      <w:r w:rsidR="00A94C94">
        <w:rPr>
          <w:lang w:val="en-US"/>
        </w:rPr>
        <w:t>21</w:t>
      </w:r>
      <w:r w:rsidRPr="00E22F74">
        <w:t xml:space="preserve"> d. </w:t>
      </w:r>
    </w:p>
    <w:p w14:paraId="5FB07BAB" w14:textId="7E87EF3B" w:rsidR="00200080" w:rsidRDefault="00200080" w:rsidP="00E22F74">
      <w:pPr>
        <w:ind w:left="3888" w:firstLine="1296"/>
      </w:pPr>
      <w:r w:rsidRPr="00E22F74">
        <w:t xml:space="preserve">sprendimu Nr. </w:t>
      </w:r>
      <w:r w:rsidR="00A94C94" w:rsidRPr="00A94C94">
        <w:t>T1-265</w:t>
      </w:r>
    </w:p>
    <w:p w14:paraId="3973F7FC" w14:textId="77777777" w:rsidR="00E22F74" w:rsidRDefault="00E22F74" w:rsidP="00E22F74">
      <w:pPr>
        <w:ind w:left="3888" w:firstLine="1296"/>
      </w:pPr>
    </w:p>
    <w:p w14:paraId="7EC50735" w14:textId="77777777" w:rsidR="00E22F74" w:rsidRDefault="00E22F74" w:rsidP="00E22F74">
      <w:pPr>
        <w:ind w:left="3888" w:firstLine="1296"/>
      </w:pPr>
    </w:p>
    <w:p w14:paraId="700F3B79" w14:textId="77777777" w:rsidR="00756416" w:rsidRDefault="00756416" w:rsidP="00756416">
      <w:pPr>
        <w:jc w:val="center"/>
        <w:rPr>
          <w:b/>
          <w:bCs/>
        </w:rPr>
      </w:pPr>
      <w:r>
        <w:rPr>
          <w:b/>
          <w:bCs/>
        </w:rPr>
        <w:t xml:space="preserve">PLUNGĖS RAJONO SAVIVALDYBĖS </w:t>
      </w:r>
      <w:r w:rsidRPr="004A2972">
        <w:rPr>
          <w:b/>
          <w:bCs/>
          <w:strike/>
        </w:rPr>
        <w:t>GYVENTOJŲ</w:t>
      </w:r>
      <w:r>
        <w:rPr>
          <w:b/>
          <w:bCs/>
        </w:rPr>
        <w:t xml:space="preserve"> </w:t>
      </w:r>
      <w:r>
        <w:rPr>
          <w:b/>
          <w:bCs/>
          <w:color w:val="FF0000"/>
        </w:rPr>
        <w:t xml:space="preserve">SPORTININKŲ </w:t>
      </w:r>
      <w:r w:rsidRPr="004A2972">
        <w:rPr>
          <w:b/>
          <w:bCs/>
          <w:strike/>
        </w:rPr>
        <w:t>IR SPORTO ATSTOVŲ</w:t>
      </w:r>
      <w:r>
        <w:rPr>
          <w:b/>
          <w:bCs/>
          <w:strike/>
        </w:rPr>
        <w:t xml:space="preserve"> </w:t>
      </w:r>
      <w:r>
        <w:rPr>
          <w:b/>
          <w:bCs/>
          <w:color w:val="FF0000"/>
        </w:rPr>
        <w:t>IR JŲ TRENERIŲ</w:t>
      </w:r>
      <w:r>
        <w:rPr>
          <w:b/>
          <w:bCs/>
        </w:rPr>
        <w:t>, PASIEKUSIŲ AUKŠTŲ REZULTATŲ SPORTO SRITYJE, SKATINIMO TVARKOS APRAŠAS</w:t>
      </w:r>
    </w:p>
    <w:p w14:paraId="61C8BCC9" w14:textId="77777777" w:rsidR="00200080" w:rsidRDefault="00200080" w:rsidP="00200080">
      <w:pPr>
        <w:jc w:val="center"/>
        <w:rPr>
          <w:b/>
          <w:bCs/>
        </w:rPr>
      </w:pPr>
    </w:p>
    <w:p w14:paraId="6CFF4BD3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I SKYRIUS</w:t>
      </w:r>
    </w:p>
    <w:p w14:paraId="190CD192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14:paraId="1BD08184" w14:textId="77777777" w:rsidR="00200080" w:rsidRDefault="00200080" w:rsidP="00200080">
      <w:pPr>
        <w:rPr>
          <w:b/>
          <w:bCs/>
        </w:rPr>
      </w:pPr>
    </w:p>
    <w:p w14:paraId="290576A0" w14:textId="0DD0D756" w:rsidR="00200080" w:rsidRDefault="004F1FD8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Plungės rajono savivaldybės </w:t>
      </w:r>
      <w:r w:rsidR="004A2972">
        <w:rPr>
          <w:color w:val="FF0000"/>
        </w:rPr>
        <w:t>sportininkų ir jų trenerių</w:t>
      </w:r>
      <w:r w:rsidR="00200080">
        <w:t>, pasiekusių aukštų rezultatų sporto srityje, skatinimo tvarkos aprašas (toliau – Aprašas) nustato asmenų, komandų, pasiekusių aukštų rezultatų sporto srityje, juos parengusių trenerių skatinimo tvarką: paraiškų pateikimo, jų svarstymo, piniginių premijų skyrimo ir mokėjimo procedūras.</w:t>
      </w:r>
    </w:p>
    <w:p w14:paraId="51A4B184" w14:textId="27E330C4" w:rsidR="00200080" w:rsidRPr="008B74E4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Tikslas – </w:t>
      </w:r>
      <w:r>
        <w:rPr>
          <w:color w:val="000000"/>
        </w:rPr>
        <w:t>skatinti rajono</w:t>
      </w:r>
      <w:r w:rsidR="004F1FD8">
        <w:rPr>
          <w:color w:val="000000"/>
        </w:rPr>
        <w:t xml:space="preserve"> </w:t>
      </w:r>
      <w:r>
        <w:rPr>
          <w:color w:val="000000"/>
        </w:rPr>
        <w:t xml:space="preserve">sportinę veiklą, skatinti rajono </w:t>
      </w:r>
      <w:r w:rsidR="004A2972">
        <w:rPr>
          <w:color w:val="FF0000"/>
        </w:rPr>
        <w:t>sportininkus</w:t>
      </w:r>
      <w:r>
        <w:rPr>
          <w:color w:val="000000"/>
        </w:rPr>
        <w:t xml:space="preserve">, pasiekusius aukštų rezultatų savo veiklos srityje bei juos paruošusius trenerius ir skirti jiems pinigines premijas (toliau </w:t>
      </w:r>
      <w:r>
        <w:t>–</w:t>
      </w:r>
      <w:r>
        <w:rPr>
          <w:color w:val="000000"/>
        </w:rPr>
        <w:t xml:space="preserve"> Premijos).</w:t>
      </w:r>
    </w:p>
    <w:p w14:paraId="363AE32E" w14:textId="035452F2" w:rsidR="00200080" w:rsidRPr="00AD059C" w:rsidRDefault="00200080" w:rsidP="00200080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>Lėšos piniginėms Premijoms skiriamos iš Savivaldybės biudžeto Ugdymo kokybės, sporto ir modernios aplinkos užtikrinimo programos priemonės „Sporto projektų rėmimas</w:t>
      </w:r>
      <w:r w:rsidR="004F1FD8">
        <w:rPr>
          <w:color w:val="000000" w:themeColor="text1"/>
        </w:rPr>
        <w:t xml:space="preserve"> (TP)</w:t>
      </w:r>
      <w:r w:rsidRPr="00AD059C">
        <w:rPr>
          <w:color w:val="000000" w:themeColor="text1"/>
        </w:rPr>
        <w:t>“</w:t>
      </w:r>
      <w:r>
        <w:rPr>
          <w:color w:val="000000" w:themeColor="text1"/>
        </w:rPr>
        <w:t>.</w:t>
      </w:r>
      <w:r w:rsidRPr="00AD059C">
        <w:rPr>
          <w:color w:val="000000" w:themeColor="text1"/>
        </w:rPr>
        <w:t xml:space="preserve"> </w:t>
      </w:r>
    </w:p>
    <w:p w14:paraId="0C2A2778" w14:textId="123964FA" w:rsidR="00200080" w:rsidRPr="00F65A3B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</w:t>
      </w:r>
      <w:r w:rsidR="004A2972">
        <w:rPr>
          <w:color w:val="FF0000"/>
        </w:rPr>
        <w:t>sportininkai</w:t>
      </w:r>
      <w:r>
        <w:t>) ir</w:t>
      </w:r>
      <w:r w:rsidRPr="00A5510C">
        <w:t xml:space="preserve"> komandos</w:t>
      </w:r>
      <w:r>
        <w:t>,</w:t>
      </w:r>
      <w:r w:rsidRPr="00F65A3B">
        <w:t xml:space="preserve"> atstovaujančios Plungės rajono savivaldybei.</w:t>
      </w:r>
    </w:p>
    <w:p w14:paraId="4838CC35" w14:textId="77777777" w:rsidR="00200080" w:rsidRPr="00611127" w:rsidRDefault="00200080" w:rsidP="00200080">
      <w:pPr>
        <w:rPr>
          <w:color w:val="C00000"/>
        </w:rPr>
      </w:pPr>
    </w:p>
    <w:p w14:paraId="45FEEE23" w14:textId="77777777" w:rsidR="00200080" w:rsidRDefault="00200080" w:rsidP="0020008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14:paraId="6002893B" w14:textId="77777777" w:rsidR="00200080" w:rsidRDefault="00200080" w:rsidP="00200080">
      <w:pPr>
        <w:jc w:val="center"/>
        <w:rPr>
          <w:b/>
          <w:bCs/>
        </w:rPr>
      </w:pPr>
      <w:r w:rsidRPr="00BF0047">
        <w:rPr>
          <w:b/>
          <w:bCs/>
        </w:rPr>
        <w:t>PARAIŠKŲ PATEIKIMO TVARKA</w:t>
      </w:r>
    </w:p>
    <w:p w14:paraId="5C579870" w14:textId="77777777" w:rsidR="00200080" w:rsidRDefault="00200080" w:rsidP="00200080">
      <w:pPr>
        <w:rPr>
          <w:b/>
          <w:bCs/>
        </w:rPr>
      </w:pPr>
    </w:p>
    <w:p w14:paraId="277FF221" w14:textId="77777777" w:rsidR="00200080" w:rsidRPr="008060BE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 xml:space="preserve">Kandidatus Premijai gauti gali siūlyti sporto įstaigos, visuomeninės sporto organizacijos, </w:t>
      </w:r>
      <w:r w:rsidRPr="008060BE">
        <w:t>Švietimo ir sporto skyrius, patys sportininkai arba jų įstatyminiai atstovai, sporto komandos.</w:t>
      </w:r>
    </w:p>
    <w:p w14:paraId="7278B5F9" w14:textId="77777777" w:rsidR="00200080" w:rsidRPr="00200080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200080">
        <w:t xml:space="preserve">Paraiškos Premijai už einamaisiais metais pasiektus rezultatus gauti teikiamos nuo </w:t>
      </w:r>
      <w:r w:rsidRPr="005C3E77">
        <w:t>gruodžio 1 d. iki gruodžio 10 d.</w:t>
      </w:r>
      <w:r w:rsidRPr="00200080">
        <w:t xml:space="preserve"> </w:t>
      </w:r>
    </w:p>
    <w:p w14:paraId="7E91A81B" w14:textId="77777777" w:rsidR="00200080" w:rsidRPr="005233DD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8" w:history="1">
        <w:r w:rsidRPr="005233DD">
          <w:rPr>
            <w:rStyle w:val="Hipersaitas"/>
          </w:rPr>
          <w:t>www.plunge.lt</w:t>
        </w:r>
      </w:hyperlink>
      <w:r w:rsidRPr="005233DD">
        <w:t>.</w:t>
      </w:r>
    </w:p>
    <w:p w14:paraId="34EB0926" w14:textId="77777777" w:rsidR="00200080" w:rsidRPr="00AD057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 xml:space="preserve">8. </w:t>
      </w:r>
      <w:r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 </w:t>
      </w:r>
    </w:p>
    <w:p w14:paraId="37CABBAA" w14:textId="77777777" w:rsidR="00200080" w:rsidRPr="008060B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Pr="008060BE">
        <w:rPr>
          <w:rFonts w:ascii="Times New Roman" w:hAnsi="Times New Roman"/>
          <w:sz w:val="24"/>
          <w:szCs w:val="24"/>
          <w:lang w:val="lt-LT"/>
        </w:rPr>
        <w:t>.1. originaliu parašu pasirašytos</w:t>
      </w:r>
      <w:r>
        <w:rPr>
          <w:rFonts w:ascii="Times New Roman" w:hAnsi="Times New Roman"/>
          <w:sz w:val="24"/>
          <w:szCs w:val="24"/>
          <w:lang w:val="lt-LT"/>
        </w:rPr>
        <w:t>,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 teikiamos adresu Plungės rajono savivaldybės administracijos Bendrųjų reikalų skyriui V</w:t>
      </w:r>
      <w:r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14:paraId="778E3FD2" w14:textId="77777777" w:rsidR="00200080" w:rsidRPr="005233DD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 xml:space="preserve">8.2. kvalifikuotu elektroniniu parašu pasirašytos arba pasirašytos originaliu parašu ir skenuotos teikiamos el. p. adresu </w:t>
      </w:r>
      <w:hyperlink r:id="rId9" w:history="1">
        <w:r w:rsidRPr="008060BE">
          <w:rPr>
            <w:rStyle w:val="Hipersaitas"/>
            <w:rFonts w:ascii="Times New Roman" w:hAnsi="Times New Roman"/>
            <w:sz w:val="24"/>
            <w:szCs w:val="24"/>
            <w:lang w:val="lt-LT"/>
          </w:rPr>
          <w:t>savivaldybe@plunge.lt</w:t>
        </w:r>
      </w:hyperlink>
      <w:r w:rsidRPr="005233DD">
        <w:rPr>
          <w:rFonts w:ascii="Times New Roman" w:hAnsi="Times New Roman"/>
          <w:sz w:val="24"/>
          <w:szCs w:val="24"/>
          <w:lang w:val="lt-LT"/>
        </w:rPr>
        <w:t>.</w:t>
      </w:r>
    </w:p>
    <w:p w14:paraId="27335E0A" w14:textId="77777777"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 turi būti pateikti dokumentai, įrodantys varžybų rangą (varžybų nuostatai, protokolai).</w:t>
      </w:r>
    </w:p>
    <w:p w14:paraId="78AB7E1F" w14:textId="77777777"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Pr="008060BE">
        <w:t>pateikta pasibaigus nustatyta</w:t>
      </w:r>
      <w:r>
        <w:t xml:space="preserve">m paraiškų priėmimo terminui, nesvarstoma. </w:t>
      </w:r>
    </w:p>
    <w:p w14:paraId="661258F4" w14:textId="77777777" w:rsidR="00200080" w:rsidRPr="00544A7B" w:rsidRDefault="00200080" w:rsidP="00200080">
      <w:pPr>
        <w:tabs>
          <w:tab w:val="left" w:pos="851"/>
          <w:tab w:val="left" w:pos="1134"/>
        </w:tabs>
        <w:jc w:val="both"/>
        <w:rPr>
          <w:highlight w:val="yellow"/>
        </w:rPr>
      </w:pPr>
    </w:p>
    <w:p w14:paraId="68EB85D8" w14:textId="77777777" w:rsidR="00200080" w:rsidRPr="00237E29" w:rsidRDefault="00200080" w:rsidP="00200080">
      <w:pPr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14:paraId="2E7A9D51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p w14:paraId="30F1EAD8" w14:textId="77777777" w:rsidR="00200080" w:rsidRDefault="00200080" w:rsidP="00200080">
      <w:pPr>
        <w:ind w:firstLine="540"/>
        <w:jc w:val="center"/>
        <w:rPr>
          <w:b/>
          <w:bCs/>
        </w:rPr>
      </w:pPr>
    </w:p>
    <w:p w14:paraId="46FCDF29" w14:textId="6081B698" w:rsidR="00200080" w:rsidRDefault="00200080" w:rsidP="00731E9D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14:paraId="6B46C25A" w14:textId="77777777" w:rsidR="00731E9D" w:rsidRPr="00731E9D" w:rsidRDefault="00731E9D" w:rsidP="00731E9D">
      <w:pPr>
        <w:tabs>
          <w:tab w:val="left" w:pos="1134"/>
        </w:tabs>
        <w:jc w:val="both"/>
      </w:pPr>
    </w:p>
    <w:tbl>
      <w:tblPr>
        <w:tblpPr w:leftFromText="180" w:rightFromText="180" w:vertAnchor="text" w:horzAnchor="margin" w:tblpY="-112"/>
        <w:tblW w:w="94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38"/>
        <w:gridCol w:w="1247"/>
        <w:gridCol w:w="29"/>
        <w:gridCol w:w="1277"/>
        <w:gridCol w:w="1277"/>
        <w:gridCol w:w="961"/>
        <w:gridCol w:w="1134"/>
      </w:tblGrid>
      <w:tr w:rsidR="00731E9D" w:rsidRPr="009C3EE0" w14:paraId="70C26FE8" w14:textId="77777777" w:rsidTr="00E16657">
        <w:trPr>
          <w:cantSplit/>
          <w:trHeight w:val="563"/>
        </w:trPr>
        <w:tc>
          <w:tcPr>
            <w:tcW w:w="3538" w:type="dxa"/>
            <w:vMerge w:val="restart"/>
          </w:tcPr>
          <w:p w14:paraId="6E0A0A33" w14:textId="77777777" w:rsidR="00731E9D" w:rsidRPr="00C0209B" w:rsidRDefault="00731E9D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lastRenderedPageBreak/>
              <w:t>Sporto varžybų pavadinimas</w:t>
            </w:r>
          </w:p>
        </w:tc>
        <w:tc>
          <w:tcPr>
            <w:tcW w:w="5925" w:type="dxa"/>
            <w:gridSpan w:val="6"/>
          </w:tcPr>
          <w:p w14:paraId="3ED4475C" w14:textId="1528048C" w:rsidR="00731E9D" w:rsidRPr="00C0209B" w:rsidRDefault="00731E9D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Iškovota vieta ir skiriamo piniginio apdovanojimo dydis (eurais)</w:t>
            </w:r>
          </w:p>
        </w:tc>
      </w:tr>
      <w:tr w:rsidR="00072B3F" w:rsidRPr="009C3EE0" w14:paraId="73AFE9C7" w14:textId="77777777" w:rsidTr="00E16657">
        <w:trPr>
          <w:cantSplit/>
          <w:trHeight w:val="336"/>
        </w:trPr>
        <w:tc>
          <w:tcPr>
            <w:tcW w:w="3538" w:type="dxa"/>
            <w:vMerge/>
            <w:vAlign w:val="center"/>
          </w:tcPr>
          <w:p w14:paraId="6E4C0F2A" w14:textId="77777777" w:rsidR="00072B3F" w:rsidRPr="00C0209B" w:rsidRDefault="00072B3F" w:rsidP="00925A8D">
            <w:pPr>
              <w:rPr>
                <w:color w:val="FF0000"/>
              </w:rPr>
            </w:pPr>
          </w:p>
        </w:tc>
        <w:tc>
          <w:tcPr>
            <w:tcW w:w="1247" w:type="dxa"/>
            <w:vAlign w:val="center"/>
          </w:tcPr>
          <w:p w14:paraId="76EEB012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pirmoji</w:t>
            </w:r>
          </w:p>
        </w:tc>
        <w:tc>
          <w:tcPr>
            <w:tcW w:w="1306" w:type="dxa"/>
            <w:gridSpan w:val="2"/>
            <w:vAlign w:val="center"/>
          </w:tcPr>
          <w:p w14:paraId="3DE59F72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antroji</w:t>
            </w:r>
          </w:p>
        </w:tc>
        <w:tc>
          <w:tcPr>
            <w:tcW w:w="1277" w:type="dxa"/>
            <w:vAlign w:val="center"/>
          </w:tcPr>
          <w:p w14:paraId="2D22AA76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trečioji</w:t>
            </w:r>
          </w:p>
        </w:tc>
        <w:tc>
          <w:tcPr>
            <w:tcW w:w="961" w:type="dxa"/>
          </w:tcPr>
          <w:p w14:paraId="25F246BD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4 - 6</w:t>
            </w:r>
          </w:p>
        </w:tc>
        <w:tc>
          <w:tcPr>
            <w:tcW w:w="1134" w:type="dxa"/>
          </w:tcPr>
          <w:p w14:paraId="5A907A47" w14:textId="77777777" w:rsidR="00072B3F" w:rsidRPr="00C0209B" w:rsidRDefault="00072B3F" w:rsidP="00925A8D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7-8</w:t>
            </w:r>
          </w:p>
        </w:tc>
      </w:tr>
      <w:tr w:rsidR="00E16657" w:rsidRPr="009C3EE0" w14:paraId="0C6BAC89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3EA87E64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suaugusiųjų čempionatas</w:t>
            </w:r>
          </w:p>
        </w:tc>
        <w:tc>
          <w:tcPr>
            <w:tcW w:w="1247" w:type="dxa"/>
            <w:vAlign w:val="center"/>
          </w:tcPr>
          <w:p w14:paraId="0F78D376" w14:textId="2851623F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 w:rsidRPr="008A182A">
              <w:rPr>
                <w:color w:val="FF0000"/>
              </w:rPr>
              <w:t>1000</w:t>
            </w:r>
          </w:p>
        </w:tc>
        <w:tc>
          <w:tcPr>
            <w:tcW w:w="1306" w:type="dxa"/>
            <w:gridSpan w:val="2"/>
            <w:vAlign w:val="center"/>
          </w:tcPr>
          <w:p w14:paraId="29551A6E" w14:textId="40E3A928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800</w:t>
            </w:r>
          </w:p>
        </w:tc>
        <w:tc>
          <w:tcPr>
            <w:tcW w:w="1277" w:type="dxa"/>
            <w:vAlign w:val="center"/>
          </w:tcPr>
          <w:p w14:paraId="610588FC" w14:textId="78DD2A09" w:rsidR="00E16657" w:rsidRPr="008A182A" w:rsidRDefault="00E16657" w:rsidP="00E16657">
            <w:pPr>
              <w:spacing w:before="60" w:after="40"/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700</w:t>
            </w:r>
          </w:p>
        </w:tc>
        <w:tc>
          <w:tcPr>
            <w:tcW w:w="961" w:type="dxa"/>
          </w:tcPr>
          <w:p w14:paraId="2C651067" w14:textId="2CDE8BE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3C3305A0" w14:textId="1CF1131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5166571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19C6BC58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jaunimo čempionatas</w:t>
            </w:r>
          </w:p>
        </w:tc>
        <w:tc>
          <w:tcPr>
            <w:tcW w:w="1276" w:type="dxa"/>
            <w:gridSpan w:val="2"/>
            <w:vAlign w:val="center"/>
          </w:tcPr>
          <w:p w14:paraId="4ABA410A" w14:textId="1A839C0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  <w:r w:rsidRPr="00C0209B">
              <w:rPr>
                <w:color w:val="FF0000"/>
              </w:rPr>
              <w:t>00</w:t>
            </w:r>
          </w:p>
        </w:tc>
        <w:tc>
          <w:tcPr>
            <w:tcW w:w="1277" w:type="dxa"/>
            <w:vAlign w:val="center"/>
          </w:tcPr>
          <w:p w14:paraId="665DED54" w14:textId="3C66A16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783434C3" w14:textId="484AF037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961" w:type="dxa"/>
          </w:tcPr>
          <w:p w14:paraId="05D910E8" w14:textId="345AAFB4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736A55B1" w14:textId="02202D48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185F46EC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5E280DDB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Pasaulio jaunių čempionatas</w:t>
            </w:r>
          </w:p>
        </w:tc>
        <w:tc>
          <w:tcPr>
            <w:tcW w:w="1276" w:type="dxa"/>
            <w:gridSpan w:val="2"/>
            <w:vAlign w:val="center"/>
          </w:tcPr>
          <w:p w14:paraId="4788F9DC" w14:textId="3BB3DF8C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  <w:r w:rsidRPr="00C0209B">
              <w:rPr>
                <w:color w:val="FF0000"/>
              </w:rPr>
              <w:t>00</w:t>
            </w:r>
          </w:p>
        </w:tc>
        <w:tc>
          <w:tcPr>
            <w:tcW w:w="1277" w:type="dxa"/>
            <w:vAlign w:val="center"/>
          </w:tcPr>
          <w:p w14:paraId="6CE64662" w14:textId="5927192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1277" w:type="dxa"/>
            <w:vAlign w:val="center"/>
          </w:tcPr>
          <w:p w14:paraId="41A8781B" w14:textId="4BFD019A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500</w:t>
            </w:r>
          </w:p>
        </w:tc>
        <w:tc>
          <w:tcPr>
            <w:tcW w:w="961" w:type="dxa"/>
          </w:tcPr>
          <w:p w14:paraId="77146CB6" w14:textId="054D42F7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659B7834" w14:textId="6DB5222A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168E0D6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1A309205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suaugusiųjų čempionatas</w:t>
            </w:r>
          </w:p>
        </w:tc>
        <w:tc>
          <w:tcPr>
            <w:tcW w:w="1276" w:type="dxa"/>
            <w:gridSpan w:val="2"/>
            <w:vAlign w:val="center"/>
          </w:tcPr>
          <w:p w14:paraId="28D762BC" w14:textId="07904DAC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900</w:t>
            </w:r>
          </w:p>
        </w:tc>
        <w:tc>
          <w:tcPr>
            <w:tcW w:w="1277" w:type="dxa"/>
            <w:vAlign w:val="center"/>
          </w:tcPr>
          <w:p w14:paraId="69F39186" w14:textId="4022A99B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545E8BD4" w14:textId="0CD176AE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961" w:type="dxa"/>
          </w:tcPr>
          <w:p w14:paraId="4A271ED4" w14:textId="504C1D6E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59D68A8C" w14:textId="3337F445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51AADD3E" w14:textId="77777777" w:rsidTr="001A38E8">
        <w:trPr>
          <w:cantSplit/>
          <w:trHeight w:val="575"/>
        </w:trPr>
        <w:tc>
          <w:tcPr>
            <w:tcW w:w="3538" w:type="dxa"/>
            <w:vAlign w:val="center"/>
          </w:tcPr>
          <w:p w14:paraId="62A4FB83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jaunimo čempionatas</w:t>
            </w:r>
          </w:p>
        </w:tc>
        <w:tc>
          <w:tcPr>
            <w:tcW w:w="1276" w:type="dxa"/>
            <w:gridSpan w:val="2"/>
            <w:vAlign w:val="center"/>
          </w:tcPr>
          <w:p w14:paraId="790F4727" w14:textId="17F133F1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700</w:t>
            </w:r>
          </w:p>
        </w:tc>
        <w:tc>
          <w:tcPr>
            <w:tcW w:w="1277" w:type="dxa"/>
            <w:vAlign w:val="center"/>
          </w:tcPr>
          <w:p w14:paraId="5A298D91" w14:textId="0728CAD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500</w:t>
            </w:r>
          </w:p>
        </w:tc>
        <w:tc>
          <w:tcPr>
            <w:tcW w:w="1277" w:type="dxa"/>
            <w:vAlign w:val="center"/>
          </w:tcPr>
          <w:p w14:paraId="6E51BB49" w14:textId="42F99748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400</w:t>
            </w:r>
          </w:p>
        </w:tc>
        <w:tc>
          <w:tcPr>
            <w:tcW w:w="961" w:type="dxa"/>
          </w:tcPr>
          <w:p w14:paraId="508AD289" w14:textId="1F6EC711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78BBA4B6" w14:textId="734D96CA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</w:tr>
      <w:tr w:rsidR="00E16657" w:rsidRPr="009C3EE0" w14:paraId="3B6E2B02" w14:textId="77777777" w:rsidTr="00642C75">
        <w:trPr>
          <w:cantSplit/>
          <w:trHeight w:val="653"/>
        </w:trPr>
        <w:tc>
          <w:tcPr>
            <w:tcW w:w="3538" w:type="dxa"/>
            <w:vAlign w:val="center"/>
          </w:tcPr>
          <w:p w14:paraId="22F66892" w14:textId="77777777" w:rsidR="00E16657" w:rsidRPr="00C0209B" w:rsidRDefault="00E16657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Europos jaunių čempionatas Europos jaunimo olimpinis festivalis</w:t>
            </w:r>
          </w:p>
        </w:tc>
        <w:tc>
          <w:tcPr>
            <w:tcW w:w="1276" w:type="dxa"/>
            <w:gridSpan w:val="2"/>
            <w:vAlign w:val="center"/>
          </w:tcPr>
          <w:p w14:paraId="614123A9" w14:textId="28C0803B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600</w:t>
            </w:r>
          </w:p>
        </w:tc>
        <w:tc>
          <w:tcPr>
            <w:tcW w:w="1277" w:type="dxa"/>
            <w:vAlign w:val="center"/>
          </w:tcPr>
          <w:p w14:paraId="1B01F82B" w14:textId="359A4112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400</w:t>
            </w:r>
          </w:p>
        </w:tc>
        <w:tc>
          <w:tcPr>
            <w:tcW w:w="1277" w:type="dxa"/>
            <w:vAlign w:val="center"/>
          </w:tcPr>
          <w:p w14:paraId="621662BB" w14:textId="79BF12E5" w:rsidR="00E16657" w:rsidRPr="00C0209B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300</w:t>
            </w:r>
          </w:p>
        </w:tc>
        <w:tc>
          <w:tcPr>
            <w:tcW w:w="961" w:type="dxa"/>
          </w:tcPr>
          <w:p w14:paraId="0FD69AE5" w14:textId="259E1270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A182A">
              <w:rPr>
                <w:color w:val="FF0000"/>
              </w:rPr>
              <w:t>00</w:t>
            </w:r>
          </w:p>
        </w:tc>
        <w:tc>
          <w:tcPr>
            <w:tcW w:w="1134" w:type="dxa"/>
          </w:tcPr>
          <w:p w14:paraId="3700F971" w14:textId="000A45C3" w:rsidR="00E16657" w:rsidRPr="008A182A" w:rsidRDefault="00E16657" w:rsidP="00E16657">
            <w:pPr>
              <w:spacing w:before="6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Pr="008A182A">
              <w:rPr>
                <w:color w:val="FF0000"/>
              </w:rPr>
              <w:t>00</w:t>
            </w:r>
          </w:p>
        </w:tc>
      </w:tr>
      <w:tr w:rsidR="00072B3F" w:rsidRPr="009C3EE0" w14:paraId="57962518" w14:textId="77777777" w:rsidTr="00E16657">
        <w:trPr>
          <w:cantSplit/>
          <w:trHeight w:val="653"/>
        </w:trPr>
        <w:tc>
          <w:tcPr>
            <w:tcW w:w="3538" w:type="dxa"/>
            <w:vAlign w:val="center"/>
          </w:tcPr>
          <w:p w14:paraId="0C74C618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LR suaugusiųjų čempionatas</w:t>
            </w:r>
          </w:p>
          <w:p w14:paraId="76E03C70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(pagrindinis)</w:t>
            </w:r>
          </w:p>
          <w:p w14:paraId="137B9DF6" w14:textId="77777777" w:rsidR="00072B3F" w:rsidRPr="00C0209B" w:rsidRDefault="00072B3F" w:rsidP="00925A8D">
            <w:pPr>
              <w:spacing w:before="60" w:after="40"/>
              <w:rPr>
                <w:i/>
                <w:iCs/>
                <w:color w:val="FF0000"/>
              </w:rPr>
            </w:pPr>
            <w:r w:rsidRPr="00C0209B">
              <w:rPr>
                <w:i/>
                <w:iCs/>
                <w:color w:val="FF0000"/>
              </w:rPr>
              <w:t xml:space="preserve"> </w:t>
            </w:r>
            <w:r w:rsidRPr="00C0209B">
              <w:rPr>
                <w:color w:val="FF0000"/>
              </w:rPr>
              <w:t>Pabaltijo, Baltijos šalių taurė</w:t>
            </w:r>
          </w:p>
        </w:tc>
        <w:tc>
          <w:tcPr>
            <w:tcW w:w="1247" w:type="dxa"/>
            <w:vAlign w:val="center"/>
          </w:tcPr>
          <w:p w14:paraId="086790DB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600</w:t>
            </w:r>
          </w:p>
        </w:tc>
        <w:tc>
          <w:tcPr>
            <w:tcW w:w="1306" w:type="dxa"/>
            <w:gridSpan w:val="2"/>
            <w:vAlign w:val="center"/>
          </w:tcPr>
          <w:p w14:paraId="082CD4AA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400</w:t>
            </w:r>
          </w:p>
        </w:tc>
        <w:tc>
          <w:tcPr>
            <w:tcW w:w="1277" w:type="dxa"/>
            <w:vAlign w:val="center"/>
          </w:tcPr>
          <w:p w14:paraId="3AE72C97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300</w:t>
            </w:r>
          </w:p>
        </w:tc>
        <w:tc>
          <w:tcPr>
            <w:tcW w:w="961" w:type="dxa"/>
          </w:tcPr>
          <w:p w14:paraId="51A6647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7769DBC2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3320A534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066E7BF5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  <w:tr w:rsidR="00072B3F" w:rsidRPr="0097605F" w14:paraId="268C3237" w14:textId="77777777" w:rsidTr="00E16657">
        <w:trPr>
          <w:cantSplit/>
          <w:trHeight w:val="847"/>
        </w:trPr>
        <w:tc>
          <w:tcPr>
            <w:tcW w:w="3538" w:type="dxa"/>
            <w:vAlign w:val="center"/>
          </w:tcPr>
          <w:p w14:paraId="3619E150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Lietuvos jaunimo čempionatai</w:t>
            </w:r>
          </w:p>
          <w:p w14:paraId="19E57A81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Pabaltijo, Baltijos šalių taurė</w:t>
            </w:r>
          </w:p>
          <w:p w14:paraId="1399626F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LR taurės varžybos (suaugusiųjų)</w:t>
            </w:r>
          </w:p>
        </w:tc>
        <w:tc>
          <w:tcPr>
            <w:tcW w:w="1247" w:type="dxa"/>
            <w:vAlign w:val="center"/>
          </w:tcPr>
          <w:p w14:paraId="7E61FF4E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500</w:t>
            </w:r>
          </w:p>
        </w:tc>
        <w:tc>
          <w:tcPr>
            <w:tcW w:w="1306" w:type="dxa"/>
            <w:gridSpan w:val="2"/>
            <w:vAlign w:val="center"/>
          </w:tcPr>
          <w:p w14:paraId="108C6261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300</w:t>
            </w:r>
          </w:p>
        </w:tc>
        <w:tc>
          <w:tcPr>
            <w:tcW w:w="1277" w:type="dxa"/>
            <w:vAlign w:val="center"/>
          </w:tcPr>
          <w:p w14:paraId="74A6CD45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200</w:t>
            </w:r>
          </w:p>
        </w:tc>
        <w:tc>
          <w:tcPr>
            <w:tcW w:w="961" w:type="dxa"/>
          </w:tcPr>
          <w:p w14:paraId="3E1DCC73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18391F56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6273EBA0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</w:p>
          <w:p w14:paraId="14233A9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  <w:tr w:rsidR="00072B3F" w:rsidRPr="0097605F" w14:paraId="2E5277E2" w14:textId="77777777" w:rsidTr="00E16657">
        <w:trPr>
          <w:cantSplit/>
          <w:trHeight w:val="540"/>
        </w:trPr>
        <w:tc>
          <w:tcPr>
            <w:tcW w:w="3538" w:type="dxa"/>
            <w:vAlign w:val="center"/>
          </w:tcPr>
          <w:p w14:paraId="6B6F1CA7" w14:textId="77777777" w:rsidR="00072B3F" w:rsidRPr="00C0209B" w:rsidRDefault="00072B3F" w:rsidP="00925A8D">
            <w:pPr>
              <w:spacing w:before="60" w:after="40"/>
              <w:rPr>
                <w:color w:val="FF0000"/>
              </w:rPr>
            </w:pPr>
            <w:r w:rsidRPr="00C0209B">
              <w:rPr>
                <w:color w:val="FF0000"/>
              </w:rPr>
              <w:t>Lietuvos jaunių čempionatai</w:t>
            </w:r>
          </w:p>
        </w:tc>
        <w:tc>
          <w:tcPr>
            <w:tcW w:w="1247" w:type="dxa"/>
            <w:vAlign w:val="center"/>
          </w:tcPr>
          <w:p w14:paraId="20AB271C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400</w:t>
            </w:r>
          </w:p>
        </w:tc>
        <w:tc>
          <w:tcPr>
            <w:tcW w:w="1306" w:type="dxa"/>
            <w:gridSpan w:val="2"/>
            <w:vAlign w:val="center"/>
          </w:tcPr>
          <w:p w14:paraId="61081B23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200</w:t>
            </w:r>
          </w:p>
        </w:tc>
        <w:tc>
          <w:tcPr>
            <w:tcW w:w="1277" w:type="dxa"/>
            <w:vAlign w:val="center"/>
          </w:tcPr>
          <w:p w14:paraId="0F05EFE0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100</w:t>
            </w:r>
          </w:p>
        </w:tc>
        <w:tc>
          <w:tcPr>
            <w:tcW w:w="961" w:type="dxa"/>
          </w:tcPr>
          <w:p w14:paraId="71D015E6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  <w:tc>
          <w:tcPr>
            <w:tcW w:w="1134" w:type="dxa"/>
          </w:tcPr>
          <w:p w14:paraId="56E51B3B" w14:textId="77777777" w:rsidR="00072B3F" w:rsidRPr="00C0209B" w:rsidRDefault="00072B3F" w:rsidP="00E16657">
            <w:pPr>
              <w:spacing w:before="60" w:after="40"/>
              <w:jc w:val="center"/>
              <w:rPr>
                <w:color w:val="FF0000"/>
              </w:rPr>
            </w:pPr>
            <w:r w:rsidRPr="00C0209B">
              <w:rPr>
                <w:color w:val="FF0000"/>
              </w:rPr>
              <w:t>-</w:t>
            </w:r>
          </w:p>
        </w:tc>
      </w:tr>
    </w:tbl>
    <w:p w14:paraId="2CCDDD96" w14:textId="77777777" w:rsidR="00072B3F" w:rsidRDefault="00072B3F" w:rsidP="00C0209B">
      <w:pPr>
        <w:rPr>
          <w:b/>
          <w:bCs/>
        </w:rPr>
      </w:pPr>
    </w:p>
    <w:p w14:paraId="437A7F5A" w14:textId="1DAC9752" w:rsidR="00D613EC" w:rsidRPr="00D613EC" w:rsidRDefault="00D613EC" w:rsidP="00C0209B">
      <w:pPr>
        <w:rPr>
          <w:b/>
          <w:bCs/>
          <w:color w:val="FF0000"/>
        </w:rPr>
      </w:pPr>
    </w:p>
    <w:p w14:paraId="70BA9E14" w14:textId="77777777" w:rsidR="00072B3F" w:rsidRPr="00631357" w:rsidRDefault="00072B3F" w:rsidP="00200080">
      <w:pPr>
        <w:ind w:firstLine="540"/>
        <w:rPr>
          <w:b/>
          <w:bCs/>
        </w:rPr>
      </w:pPr>
    </w:p>
    <w:tbl>
      <w:tblPr>
        <w:tblpPr w:leftFromText="180" w:rightFromText="180" w:vertAnchor="text" w:horzAnchor="margin" w:tblpY="-11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200080" w14:paraId="1EC6D84A" w14:textId="77777777" w:rsidTr="00800A1E">
        <w:trPr>
          <w:cantSplit/>
          <w:trHeight w:val="275"/>
        </w:trPr>
        <w:tc>
          <w:tcPr>
            <w:tcW w:w="2092" w:type="dxa"/>
            <w:vMerge w:val="restart"/>
          </w:tcPr>
          <w:p w14:paraId="424F5642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Sporto varžybų pavadinimas</w:t>
            </w:r>
          </w:p>
        </w:tc>
        <w:tc>
          <w:tcPr>
            <w:tcW w:w="7448" w:type="dxa"/>
            <w:gridSpan w:val="3"/>
          </w:tcPr>
          <w:p w14:paraId="78ACF884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Iškovota vieta ir skiriamo piniginio apdovanojimo dydis (eurais)</w:t>
            </w:r>
          </w:p>
        </w:tc>
      </w:tr>
      <w:tr w:rsidR="00200080" w14:paraId="46971799" w14:textId="77777777" w:rsidTr="00800A1E">
        <w:trPr>
          <w:cantSplit/>
          <w:trHeight w:val="336"/>
        </w:trPr>
        <w:tc>
          <w:tcPr>
            <w:tcW w:w="2092" w:type="dxa"/>
            <w:vMerge/>
            <w:vAlign w:val="center"/>
          </w:tcPr>
          <w:p w14:paraId="4D645DEF" w14:textId="77777777" w:rsidR="00200080" w:rsidRPr="004910EB" w:rsidRDefault="00200080" w:rsidP="00800A1E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746581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pirmoji</w:t>
            </w:r>
          </w:p>
        </w:tc>
        <w:tc>
          <w:tcPr>
            <w:tcW w:w="993" w:type="dxa"/>
            <w:vAlign w:val="center"/>
          </w:tcPr>
          <w:p w14:paraId="7266CADF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antroji</w:t>
            </w:r>
          </w:p>
        </w:tc>
        <w:tc>
          <w:tcPr>
            <w:tcW w:w="5038" w:type="dxa"/>
            <w:vAlign w:val="center"/>
          </w:tcPr>
          <w:p w14:paraId="6C81B203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trečioji</w:t>
            </w:r>
          </w:p>
        </w:tc>
      </w:tr>
      <w:tr w:rsidR="00200080" w14:paraId="2D0421EB" w14:textId="77777777" w:rsidTr="00800A1E">
        <w:trPr>
          <w:cantSplit/>
          <w:trHeight w:val="653"/>
        </w:trPr>
        <w:tc>
          <w:tcPr>
            <w:tcW w:w="2092" w:type="dxa"/>
            <w:vAlign w:val="center"/>
          </w:tcPr>
          <w:p w14:paraId="2D7121D3" w14:textId="77777777" w:rsidR="00200080" w:rsidRPr="004910EB" w:rsidRDefault="00200080" w:rsidP="00800A1E">
            <w:pPr>
              <w:spacing w:before="60" w:after="40"/>
              <w:rPr>
                <w:b/>
                <w:bCs/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Respublikos čempionatai</w:t>
            </w:r>
          </w:p>
        </w:tc>
        <w:tc>
          <w:tcPr>
            <w:tcW w:w="1417" w:type="dxa"/>
            <w:vAlign w:val="center"/>
          </w:tcPr>
          <w:p w14:paraId="682B5BF0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500</w:t>
            </w:r>
          </w:p>
        </w:tc>
        <w:tc>
          <w:tcPr>
            <w:tcW w:w="993" w:type="dxa"/>
            <w:vAlign w:val="center"/>
          </w:tcPr>
          <w:p w14:paraId="6273008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300</w:t>
            </w:r>
          </w:p>
        </w:tc>
        <w:tc>
          <w:tcPr>
            <w:tcW w:w="5038" w:type="dxa"/>
            <w:vAlign w:val="center"/>
          </w:tcPr>
          <w:p w14:paraId="70E8C616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</w:tr>
      <w:tr w:rsidR="00200080" w14:paraId="4A32B6FA" w14:textId="77777777" w:rsidTr="00800A1E">
        <w:trPr>
          <w:cantSplit/>
          <w:trHeight w:val="847"/>
        </w:trPr>
        <w:tc>
          <w:tcPr>
            <w:tcW w:w="2092" w:type="dxa"/>
            <w:vAlign w:val="center"/>
          </w:tcPr>
          <w:p w14:paraId="12960BD1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jaunimo čempionatai</w:t>
            </w:r>
          </w:p>
        </w:tc>
        <w:tc>
          <w:tcPr>
            <w:tcW w:w="1417" w:type="dxa"/>
            <w:vAlign w:val="center"/>
          </w:tcPr>
          <w:p w14:paraId="2150036E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</w:tcPr>
          <w:p w14:paraId="15A056C6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  <w:tc>
          <w:tcPr>
            <w:tcW w:w="5038" w:type="dxa"/>
            <w:vAlign w:val="center"/>
          </w:tcPr>
          <w:p w14:paraId="432DAC2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150</w:t>
            </w:r>
          </w:p>
        </w:tc>
      </w:tr>
      <w:tr w:rsidR="00200080" w14:paraId="292BC5D5" w14:textId="77777777" w:rsidTr="00800A1E">
        <w:trPr>
          <w:cantSplit/>
          <w:trHeight w:val="847"/>
        </w:trPr>
        <w:tc>
          <w:tcPr>
            <w:tcW w:w="2092" w:type="dxa"/>
            <w:vAlign w:val="center"/>
          </w:tcPr>
          <w:p w14:paraId="16A267FE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jaunių čempionatai</w:t>
            </w:r>
          </w:p>
        </w:tc>
        <w:tc>
          <w:tcPr>
            <w:tcW w:w="1417" w:type="dxa"/>
            <w:vAlign w:val="center"/>
          </w:tcPr>
          <w:p w14:paraId="6F7C4693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</w:tcPr>
          <w:p w14:paraId="0DAC644D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150</w:t>
            </w:r>
          </w:p>
        </w:tc>
        <w:tc>
          <w:tcPr>
            <w:tcW w:w="5038" w:type="dxa"/>
            <w:vAlign w:val="center"/>
          </w:tcPr>
          <w:p w14:paraId="29908ADB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100</w:t>
            </w:r>
          </w:p>
        </w:tc>
      </w:tr>
      <w:tr w:rsidR="00200080" w14:paraId="16BB9EE3" w14:textId="77777777" w:rsidTr="00800A1E">
        <w:trPr>
          <w:cantSplit/>
          <w:trHeight w:val="761"/>
        </w:trPr>
        <w:tc>
          <w:tcPr>
            <w:tcW w:w="2092" w:type="dxa"/>
            <w:vAlign w:val="center"/>
          </w:tcPr>
          <w:p w14:paraId="0F5140CB" w14:textId="77777777" w:rsidR="00200080" w:rsidRPr="004910EB" w:rsidRDefault="00200080" w:rsidP="00800A1E">
            <w:pPr>
              <w:spacing w:before="60" w:after="40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Lietuvos Respublikos taurės varžybos</w:t>
            </w:r>
          </w:p>
        </w:tc>
        <w:tc>
          <w:tcPr>
            <w:tcW w:w="1417" w:type="dxa"/>
            <w:vAlign w:val="center"/>
          </w:tcPr>
          <w:p w14:paraId="3B2F5901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14:paraId="22764A1D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100</w:t>
            </w:r>
          </w:p>
        </w:tc>
        <w:tc>
          <w:tcPr>
            <w:tcW w:w="5038" w:type="dxa"/>
            <w:vAlign w:val="center"/>
          </w:tcPr>
          <w:p w14:paraId="2F0610B4" w14:textId="77777777" w:rsidR="00200080" w:rsidRPr="004910EB" w:rsidRDefault="00200080" w:rsidP="00800A1E">
            <w:pPr>
              <w:spacing w:before="60" w:after="40"/>
              <w:jc w:val="center"/>
              <w:rPr>
                <w:strike/>
                <w:sz w:val="18"/>
                <w:szCs w:val="18"/>
              </w:rPr>
            </w:pPr>
            <w:r w:rsidRPr="004910EB">
              <w:rPr>
                <w:strike/>
                <w:sz w:val="18"/>
                <w:szCs w:val="18"/>
              </w:rPr>
              <w:t>50</w:t>
            </w:r>
          </w:p>
        </w:tc>
      </w:tr>
    </w:tbl>
    <w:p w14:paraId="36CB279B" w14:textId="61B3AD09" w:rsidR="00200080" w:rsidRPr="00F95603" w:rsidRDefault="00A80969" w:rsidP="00200080">
      <w:pPr>
        <w:ind w:firstLine="720"/>
        <w:jc w:val="both"/>
        <w:rPr>
          <w:color w:val="000000" w:themeColor="text1"/>
        </w:rPr>
      </w:pPr>
      <w:r w:rsidRPr="00F95603">
        <w:rPr>
          <w:color w:val="000000" w:themeColor="text1"/>
        </w:rPr>
        <w:t xml:space="preserve">11.1. </w:t>
      </w:r>
      <w:r w:rsidR="00200080" w:rsidRPr="00F95603">
        <w:rPr>
          <w:color w:val="000000" w:themeColor="text1"/>
        </w:rPr>
        <w:t>olimpinių sporto šakų individualių ir komandinių rungčių, sportinių žaidimų sportininkams, nepriklausomai nuo varžovų skaičiaus;</w:t>
      </w:r>
    </w:p>
    <w:p w14:paraId="2ABB478B" w14:textId="74B522B2" w:rsidR="00200080" w:rsidRDefault="00200080" w:rsidP="00200080">
      <w:pPr>
        <w:ind w:firstLine="720"/>
        <w:jc w:val="both"/>
        <w:rPr>
          <w:color w:val="FF0000"/>
        </w:rPr>
      </w:pPr>
      <w:r w:rsidRPr="00F95603">
        <w:rPr>
          <w:color w:val="000000" w:themeColor="text1"/>
        </w:rPr>
        <w:t>11.2. neolimpinių sporto šakų sportininkams, jeigu sporto varžybose dalyvauja ne mažiau kaip 16 varžovų, atstovaujančių ne mažiau kaip 10 rajonų ir (ar) miestų.</w:t>
      </w:r>
      <w:r w:rsidR="00597A54">
        <w:rPr>
          <w:color w:val="000000" w:themeColor="text1"/>
        </w:rPr>
        <w:t xml:space="preserve">     </w:t>
      </w:r>
    </w:p>
    <w:p w14:paraId="6DB457FD" w14:textId="77777777" w:rsidR="00200080" w:rsidRPr="00363318" w:rsidRDefault="00200080" w:rsidP="00200080">
      <w:pPr>
        <w:ind w:firstLine="720"/>
        <w:jc w:val="both"/>
      </w:pPr>
      <w:r>
        <w:t>12</w:t>
      </w:r>
      <w:r w:rsidRPr="00387708">
        <w:t>.</w:t>
      </w:r>
      <w:r w:rsidRPr="009B554A">
        <w:t xml:space="preserve"> Už komandinį sporto laimėjimą kiekvienam komandos nariui (sportininkui) skiriamas piniginis prizas, kuris komandai apskaičiuojamas Piniginių prizų dydžių lentelėje nurodytą </w:t>
      </w:r>
      <w:r w:rsidRPr="009B554A">
        <w:lastRenderedPageBreak/>
        <w:t>piniginio prizo dydį dauginant iš oficialaus komandos arba komandinės rungties sportininkų skaičiaus.</w:t>
      </w:r>
    </w:p>
    <w:p w14:paraId="2EE5ADA5" w14:textId="77777777" w:rsidR="00C722D7" w:rsidRDefault="00200080" w:rsidP="00C722D7">
      <w:pPr>
        <w:ind w:firstLine="720"/>
        <w:jc w:val="both"/>
        <w:rPr>
          <w:color w:val="FF0000"/>
        </w:rPr>
      </w:pPr>
      <w:r>
        <w:t>13</w:t>
      </w:r>
      <w:r w:rsidRPr="00BA7582">
        <w:t xml:space="preserve">. Treneriams skiriami 50 procentų sportininko gauto piniginio apdovanojimo dydžio piniginiai apdovanojimai. Treneriams piniginiai apdovanojimai skiriami tik už didžiausią sportininko </w:t>
      </w:r>
      <w:r>
        <w:t xml:space="preserve">laimėjimą tose </w:t>
      </w:r>
      <w:r w:rsidRPr="00881B42">
        <w:t xml:space="preserve">pačiose rungtyse. </w:t>
      </w:r>
      <w:r w:rsidRPr="00BA7582">
        <w:t xml:space="preserve">Jeigu tose pačiose varžybose keli trenerio auklėtiniai laimi piniginius apdovanojimus, jų treneriui </w:t>
      </w:r>
      <w:r w:rsidRPr="00D436AA">
        <w:t xml:space="preserve">tenka už kiekvieną sportininką perpus </w:t>
      </w:r>
      <w:r w:rsidRPr="00BA7582">
        <w:t>mažesni piniginiai apdovanojimai.</w:t>
      </w:r>
      <w:r w:rsidR="00C722D7" w:rsidRPr="00C722D7">
        <w:rPr>
          <w:color w:val="FF0000"/>
        </w:rPr>
        <w:t xml:space="preserve"> </w:t>
      </w:r>
    </w:p>
    <w:p w14:paraId="3AE03E21" w14:textId="77777777" w:rsidR="00200080" w:rsidRDefault="00200080" w:rsidP="00200080">
      <w:pPr>
        <w:ind w:firstLine="720"/>
        <w:jc w:val="both"/>
      </w:pPr>
      <w:r>
        <w:t xml:space="preserve">14. </w:t>
      </w:r>
      <w:r w:rsidRPr="00BA7582">
        <w:t>Jeigu sportininką rengia keli treneriai, piniginis apdovanojimas dalijamas lygiomis dalimis.</w:t>
      </w:r>
    </w:p>
    <w:p w14:paraId="47BC3FEB" w14:textId="77777777" w:rsidR="00200080" w:rsidRDefault="00200080" w:rsidP="00200080">
      <w:pPr>
        <w:ind w:firstLine="720"/>
        <w:jc w:val="both"/>
      </w:pPr>
      <w:r>
        <w:t>15</w:t>
      </w:r>
      <w:r w:rsidRPr="00BE61FA">
        <w:t xml:space="preserve">. Neakivaizdinių </w:t>
      </w:r>
      <w:r w:rsidRPr="00B614EC">
        <w:t>varžybų, modelių sporto šakų varžybų piniginiai apdovanojimai sportininkų treneriams neskiriami.</w:t>
      </w:r>
    </w:p>
    <w:p w14:paraId="1BED0299" w14:textId="77777777" w:rsidR="00200080" w:rsidRPr="00BA7582" w:rsidRDefault="00200080" w:rsidP="00200080">
      <w:pPr>
        <w:ind w:firstLine="720"/>
        <w:jc w:val="both"/>
      </w:pPr>
      <w:r>
        <w:t xml:space="preserve">16. </w:t>
      </w:r>
      <w:r w:rsidRPr="00387708">
        <w:t>Piniginiais apdovanojimai</w:t>
      </w:r>
      <w:r>
        <w:t>s</w:t>
      </w:r>
      <w:r w:rsidRPr="00387708">
        <w:t xml:space="preserve"> vertinamos tik tos komandinės rungtys, kurių varžybų rezultatai nėra individualių rungčių rezultatų suma (t.</w:t>
      </w:r>
      <w:r>
        <w:t xml:space="preserve"> </w:t>
      </w:r>
      <w:r w:rsidRPr="00387708">
        <w:t>y. už kuriuos sportininkas nėra gavęs piniginio apdovanojimo).</w:t>
      </w:r>
      <w:r>
        <w:t xml:space="preserve"> </w:t>
      </w:r>
    </w:p>
    <w:p w14:paraId="51267ED1" w14:textId="295CC870" w:rsidR="00C722D7" w:rsidRPr="004E03F8" w:rsidRDefault="004E03F8" w:rsidP="00C722D7">
      <w:pPr>
        <w:ind w:firstLine="720"/>
        <w:jc w:val="both"/>
      </w:pPr>
      <w:r w:rsidRPr="004E03F8">
        <w:t xml:space="preserve">17. Piniginiai prizai 25 </w:t>
      </w:r>
      <w:r w:rsidR="00C722D7" w:rsidRPr="004E03F8">
        <w:t xml:space="preserve">procentais mažinami už sporto laimėjimus sporto šakos ne pagrindiniame čempionate. </w:t>
      </w:r>
    </w:p>
    <w:p w14:paraId="2673065E" w14:textId="09F63C6A" w:rsidR="006B0EB0" w:rsidRDefault="00200080" w:rsidP="009163B3">
      <w:pPr>
        <w:ind w:firstLine="720"/>
        <w:jc w:val="both"/>
      </w:pPr>
      <w:r>
        <w:t>18</w:t>
      </w:r>
      <w:r w:rsidRPr="00932663">
        <w:t>. Premija mokama už vienerių kalendorinių metų pasiekimus.</w:t>
      </w:r>
    </w:p>
    <w:p w14:paraId="4A5657A9" w14:textId="77777777" w:rsidR="00200080" w:rsidRPr="000C7BF4" w:rsidRDefault="00200080" w:rsidP="00200080"/>
    <w:p w14:paraId="6D6DCF80" w14:textId="77777777" w:rsidR="00200080" w:rsidRPr="000C7BF4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14:paraId="28BE4AED" w14:textId="77777777" w:rsidR="00200080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14:paraId="274D2F74" w14:textId="77777777" w:rsidR="00200080" w:rsidRDefault="00200080" w:rsidP="00200080">
      <w:pPr>
        <w:jc w:val="center"/>
        <w:rPr>
          <w:b/>
          <w:bCs/>
        </w:rPr>
      </w:pPr>
    </w:p>
    <w:p w14:paraId="5722484F" w14:textId="77777777" w:rsidR="00200080" w:rsidRDefault="00200080" w:rsidP="00200080">
      <w:pPr>
        <w:ind w:firstLine="720"/>
        <w:jc w:val="both"/>
        <w:rPr>
          <w:color w:val="FF0000"/>
        </w:rPr>
      </w:pPr>
      <w:r>
        <w:t xml:space="preserve">19. </w:t>
      </w:r>
      <w:r w:rsidRPr="00F01245">
        <w:t xml:space="preserve">Pretendentų Premijai gauti pateiktas paraiškas ir kartu pateiktus dokumentus bei kitas reikšmingas aplinkybes vertina Plungės rajono savivaldybės Sporto taryba ir teikia siūlymus Savivaldybės administracijos direktoriui dėl konkrečių premijų dydžių skyrimo. </w:t>
      </w:r>
    </w:p>
    <w:p w14:paraId="593CF05D" w14:textId="77777777" w:rsidR="00200080" w:rsidRPr="006261EC" w:rsidRDefault="00200080" w:rsidP="00200080">
      <w:pPr>
        <w:ind w:firstLine="720"/>
        <w:jc w:val="both"/>
      </w:pPr>
      <w:r>
        <w:t>20</w:t>
      </w:r>
      <w:r w:rsidRPr="00290FAC">
        <w:t>. Jeigu</w:t>
      </w:r>
      <w:r w:rsidRPr="000E029E">
        <w:t xml:space="preserve"> komanda ar sportininkas tais pačiais metais keliose sporto varžybose pasiekia rezultatą</w:t>
      </w:r>
      <w:r>
        <w:t>, suteikiantį teisę gauti premiją</w:t>
      </w:r>
      <w:r w:rsidRPr="000E029E">
        <w:t>, tai piniginis apdovanojimas skiriamas už didžiausią rezultatą.</w:t>
      </w:r>
    </w:p>
    <w:p w14:paraId="11DE0EAF" w14:textId="77777777" w:rsidR="00200080" w:rsidRPr="002A6D38" w:rsidRDefault="00200080" w:rsidP="00200080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Pr="002D4B61">
        <w:rPr>
          <w:color w:val="000000" w:themeColor="text1"/>
        </w:rPr>
        <w:t>. Premijos suma pervedama į piniginės premijos gavėjo sąskaitą.</w:t>
      </w:r>
    </w:p>
    <w:p w14:paraId="2812E6C7" w14:textId="77777777" w:rsidR="00200080" w:rsidRDefault="00200080" w:rsidP="0071522F">
      <w:pPr>
        <w:rPr>
          <w:b/>
          <w:bCs/>
        </w:rPr>
      </w:pPr>
    </w:p>
    <w:p w14:paraId="782C24B3" w14:textId="77777777" w:rsidR="00200080" w:rsidRDefault="00200080" w:rsidP="00200080">
      <w:pPr>
        <w:jc w:val="center"/>
        <w:rPr>
          <w:b/>
          <w:bCs/>
        </w:rPr>
      </w:pPr>
    </w:p>
    <w:p w14:paraId="5088E103" w14:textId="77777777" w:rsidR="00200080" w:rsidRPr="00D46D3C" w:rsidRDefault="00200080" w:rsidP="00200080">
      <w:pPr>
        <w:jc w:val="center"/>
        <w:rPr>
          <w:b/>
          <w:bCs/>
        </w:rPr>
      </w:pPr>
      <w:r>
        <w:rPr>
          <w:b/>
          <w:bCs/>
        </w:rPr>
        <w:t>V</w:t>
      </w:r>
      <w:r w:rsidRPr="00D46D3C">
        <w:rPr>
          <w:b/>
          <w:bCs/>
        </w:rPr>
        <w:t xml:space="preserve"> SKYRIUS</w:t>
      </w:r>
    </w:p>
    <w:p w14:paraId="2E2CFED7" w14:textId="77777777"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14:paraId="0F395447" w14:textId="77777777" w:rsidR="00200080" w:rsidRDefault="00200080" w:rsidP="00200080">
      <w:pPr>
        <w:jc w:val="both"/>
        <w:rPr>
          <w:b/>
          <w:bCs/>
        </w:rPr>
      </w:pPr>
    </w:p>
    <w:p w14:paraId="2562D6ED" w14:textId="77777777" w:rsidR="00200080" w:rsidRDefault="00200080" w:rsidP="00200080">
      <w:pPr>
        <w:ind w:firstLine="720"/>
        <w:jc w:val="both"/>
      </w:pPr>
      <w:r>
        <w:t xml:space="preserve">22. </w:t>
      </w:r>
      <w:r w:rsidRPr="00AD48FB">
        <w:t>Šis</w:t>
      </w:r>
      <w:r>
        <w:t xml:space="preserve"> Aprašas gali būti keičiamas, naikinamas Sporto tarybos teikimu Savivaldybės tarybos sprendimu.</w:t>
      </w:r>
    </w:p>
    <w:p w14:paraId="7AB3B71E" w14:textId="3B67DFA2" w:rsidR="006E6590" w:rsidRPr="00AD48FB" w:rsidRDefault="006E6590" w:rsidP="00200080">
      <w:pPr>
        <w:ind w:firstLine="720"/>
        <w:jc w:val="both"/>
      </w:pPr>
      <w:r w:rsidRPr="006E6590">
        <w:t>23. Aprašo kontrolę vykdo Savivaldybės kontrolės ir audito tarnyba.</w:t>
      </w:r>
    </w:p>
    <w:p w14:paraId="5BDBFF3D" w14:textId="77777777" w:rsidR="00200080" w:rsidRDefault="00200080" w:rsidP="00200080">
      <w:pPr>
        <w:rPr>
          <w:bCs/>
        </w:rPr>
      </w:pPr>
    </w:p>
    <w:p w14:paraId="21DBA965" w14:textId="77777777" w:rsidR="00200080" w:rsidRPr="0050566C" w:rsidRDefault="00200080" w:rsidP="00200080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14:paraId="02FE4031" w14:textId="77777777" w:rsidR="00200080" w:rsidRDefault="00200080" w:rsidP="00200080"/>
    <w:p w14:paraId="6EF149A0" w14:textId="77777777" w:rsidR="00F739B9" w:rsidRDefault="00F739B9">
      <w:pPr>
        <w:rPr>
          <w:bCs/>
        </w:rPr>
      </w:pPr>
    </w:p>
    <w:p w14:paraId="39A27750" w14:textId="77777777" w:rsidR="00F739B9" w:rsidRDefault="00F739B9">
      <w:pPr>
        <w:rPr>
          <w:bCs/>
        </w:rPr>
      </w:pPr>
    </w:p>
    <w:p w14:paraId="28C8101B" w14:textId="77777777" w:rsidR="00F739B9" w:rsidRDefault="00F739B9">
      <w:pPr>
        <w:rPr>
          <w:bCs/>
        </w:rPr>
      </w:pPr>
    </w:p>
    <w:p w14:paraId="1E1E9FB2" w14:textId="77777777" w:rsidR="00F739B9" w:rsidRDefault="00F739B9">
      <w:pPr>
        <w:rPr>
          <w:bCs/>
        </w:rPr>
      </w:pPr>
    </w:p>
    <w:p w14:paraId="17E138DF" w14:textId="77777777" w:rsidR="00F739B9" w:rsidRDefault="00F739B9">
      <w:pPr>
        <w:rPr>
          <w:bCs/>
        </w:rPr>
      </w:pPr>
    </w:p>
    <w:p w14:paraId="364F883F" w14:textId="77777777" w:rsidR="00F739B9" w:rsidRDefault="00F739B9">
      <w:pPr>
        <w:rPr>
          <w:bCs/>
        </w:rPr>
      </w:pPr>
    </w:p>
    <w:p w14:paraId="242AAC6F" w14:textId="77777777" w:rsidR="00F739B9" w:rsidRDefault="00F739B9">
      <w:pPr>
        <w:rPr>
          <w:bCs/>
        </w:rPr>
      </w:pPr>
    </w:p>
    <w:p w14:paraId="1425E61C" w14:textId="77777777" w:rsidR="00F739B9" w:rsidRDefault="00F739B9">
      <w:pPr>
        <w:rPr>
          <w:bCs/>
        </w:rPr>
      </w:pPr>
    </w:p>
    <w:p w14:paraId="0CF9741A" w14:textId="77777777" w:rsidR="00F739B9" w:rsidRDefault="00F739B9">
      <w:pPr>
        <w:rPr>
          <w:bCs/>
        </w:rPr>
      </w:pPr>
    </w:p>
    <w:p w14:paraId="58E7B833" w14:textId="77777777" w:rsidR="00BC1E97" w:rsidRPr="00AD7B9F" w:rsidRDefault="00BC1E97"/>
    <w:sectPr w:rsidR="00BC1E97" w:rsidRPr="00AD7B9F" w:rsidSect="00611127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55E66" w14:textId="77777777" w:rsidR="007D724C" w:rsidRDefault="007D724C" w:rsidP="00012755">
      <w:r>
        <w:separator/>
      </w:r>
    </w:p>
  </w:endnote>
  <w:endnote w:type="continuationSeparator" w:id="0">
    <w:p w14:paraId="73391A3C" w14:textId="77777777" w:rsidR="007D724C" w:rsidRDefault="007D724C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0C6BA" w14:textId="77777777" w:rsidR="007D724C" w:rsidRDefault="007D724C" w:rsidP="00012755">
      <w:r>
        <w:separator/>
      </w:r>
    </w:p>
  </w:footnote>
  <w:footnote w:type="continuationSeparator" w:id="0">
    <w:p w14:paraId="4844FC95" w14:textId="77777777" w:rsidR="007D724C" w:rsidRDefault="007D724C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3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72B3F"/>
    <w:rsid w:val="0009487A"/>
    <w:rsid w:val="0009520A"/>
    <w:rsid w:val="000B1D44"/>
    <w:rsid w:val="000C2855"/>
    <w:rsid w:val="000E6FB3"/>
    <w:rsid w:val="000F048A"/>
    <w:rsid w:val="0011373C"/>
    <w:rsid w:val="00117B99"/>
    <w:rsid w:val="0018546A"/>
    <w:rsid w:val="00194FE9"/>
    <w:rsid w:val="00196EDB"/>
    <w:rsid w:val="001B4367"/>
    <w:rsid w:val="001B7265"/>
    <w:rsid w:val="001E361B"/>
    <w:rsid w:val="001E36C9"/>
    <w:rsid w:val="001E49C1"/>
    <w:rsid w:val="001F1C2E"/>
    <w:rsid w:val="00200080"/>
    <w:rsid w:val="0020539A"/>
    <w:rsid w:val="00207666"/>
    <w:rsid w:val="002236D1"/>
    <w:rsid w:val="00236C84"/>
    <w:rsid w:val="00252BC5"/>
    <w:rsid w:val="00280DBF"/>
    <w:rsid w:val="002811F2"/>
    <w:rsid w:val="002A4C15"/>
    <w:rsid w:val="002A6D38"/>
    <w:rsid w:val="002B1051"/>
    <w:rsid w:val="002C34C4"/>
    <w:rsid w:val="002D3EF2"/>
    <w:rsid w:val="002D4097"/>
    <w:rsid w:val="002D4099"/>
    <w:rsid w:val="002D4B61"/>
    <w:rsid w:val="002F0063"/>
    <w:rsid w:val="002F2E52"/>
    <w:rsid w:val="002F6B0F"/>
    <w:rsid w:val="00301EED"/>
    <w:rsid w:val="003104F3"/>
    <w:rsid w:val="00310B33"/>
    <w:rsid w:val="00310F1F"/>
    <w:rsid w:val="00317AEC"/>
    <w:rsid w:val="003312B4"/>
    <w:rsid w:val="00333B3C"/>
    <w:rsid w:val="003370E1"/>
    <w:rsid w:val="00342ECC"/>
    <w:rsid w:val="003568A9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E0217"/>
    <w:rsid w:val="003F39C8"/>
    <w:rsid w:val="00432319"/>
    <w:rsid w:val="00454733"/>
    <w:rsid w:val="00461E50"/>
    <w:rsid w:val="0048631D"/>
    <w:rsid w:val="004910EB"/>
    <w:rsid w:val="004932B0"/>
    <w:rsid w:val="004A2972"/>
    <w:rsid w:val="004A7207"/>
    <w:rsid w:val="004B0B2A"/>
    <w:rsid w:val="004C3CA5"/>
    <w:rsid w:val="004E03F8"/>
    <w:rsid w:val="004F1FD8"/>
    <w:rsid w:val="005165D0"/>
    <w:rsid w:val="005233DD"/>
    <w:rsid w:val="005274FB"/>
    <w:rsid w:val="00527D80"/>
    <w:rsid w:val="00531E14"/>
    <w:rsid w:val="0053314A"/>
    <w:rsid w:val="00544A7B"/>
    <w:rsid w:val="005455CF"/>
    <w:rsid w:val="00545CF2"/>
    <w:rsid w:val="00565E74"/>
    <w:rsid w:val="00566142"/>
    <w:rsid w:val="00573641"/>
    <w:rsid w:val="005868D3"/>
    <w:rsid w:val="00597A54"/>
    <w:rsid w:val="005A1507"/>
    <w:rsid w:val="005A577E"/>
    <w:rsid w:val="005A725D"/>
    <w:rsid w:val="005B0443"/>
    <w:rsid w:val="005C0F3E"/>
    <w:rsid w:val="005C1C84"/>
    <w:rsid w:val="005C3E77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54EE"/>
    <w:rsid w:val="006261EC"/>
    <w:rsid w:val="00631357"/>
    <w:rsid w:val="00634132"/>
    <w:rsid w:val="006452D6"/>
    <w:rsid w:val="00663BF7"/>
    <w:rsid w:val="0066588E"/>
    <w:rsid w:val="0066699A"/>
    <w:rsid w:val="00672D32"/>
    <w:rsid w:val="00683A96"/>
    <w:rsid w:val="006A375E"/>
    <w:rsid w:val="006B0EB0"/>
    <w:rsid w:val="006B5A21"/>
    <w:rsid w:val="006C3AE6"/>
    <w:rsid w:val="006D2D29"/>
    <w:rsid w:val="006D6785"/>
    <w:rsid w:val="006E657D"/>
    <w:rsid w:val="006E6590"/>
    <w:rsid w:val="006E6843"/>
    <w:rsid w:val="006E7E20"/>
    <w:rsid w:val="0071522F"/>
    <w:rsid w:val="00722A55"/>
    <w:rsid w:val="007237AD"/>
    <w:rsid w:val="00731E9D"/>
    <w:rsid w:val="00745C99"/>
    <w:rsid w:val="00756416"/>
    <w:rsid w:val="00782DFB"/>
    <w:rsid w:val="007A3679"/>
    <w:rsid w:val="007A4EC3"/>
    <w:rsid w:val="007B3927"/>
    <w:rsid w:val="007B7281"/>
    <w:rsid w:val="007D6DEB"/>
    <w:rsid w:val="007D724C"/>
    <w:rsid w:val="007E2ECE"/>
    <w:rsid w:val="007E5EDF"/>
    <w:rsid w:val="008060BE"/>
    <w:rsid w:val="0080721D"/>
    <w:rsid w:val="00817F47"/>
    <w:rsid w:val="008206E8"/>
    <w:rsid w:val="0082487E"/>
    <w:rsid w:val="00831D56"/>
    <w:rsid w:val="0087078C"/>
    <w:rsid w:val="008749FD"/>
    <w:rsid w:val="00881B42"/>
    <w:rsid w:val="0089018F"/>
    <w:rsid w:val="008A182A"/>
    <w:rsid w:val="008A252D"/>
    <w:rsid w:val="008A50CF"/>
    <w:rsid w:val="008A6ABF"/>
    <w:rsid w:val="008C68E3"/>
    <w:rsid w:val="008D01B2"/>
    <w:rsid w:val="008D0E34"/>
    <w:rsid w:val="008D56AD"/>
    <w:rsid w:val="008E052B"/>
    <w:rsid w:val="008E2F54"/>
    <w:rsid w:val="00910CB6"/>
    <w:rsid w:val="009163B3"/>
    <w:rsid w:val="00921E7B"/>
    <w:rsid w:val="00922373"/>
    <w:rsid w:val="00956A7B"/>
    <w:rsid w:val="00956D59"/>
    <w:rsid w:val="00956F3C"/>
    <w:rsid w:val="00964098"/>
    <w:rsid w:val="0097605F"/>
    <w:rsid w:val="0099166D"/>
    <w:rsid w:val="00993D72"/>
    <w:rsid w:val="00994263"/>
    <w:rsid w:val="009943F0"/>
    <w:rsid w:val="009A08D4"/>
    <w:rsid w:val="009A647D"/>
    <w:rsid w:val="009A69BD"/>
    <w:rsid w:val="009C1CC3"/>
    <w:rsid w:val="009C3EE0"/>
    <w:rsid w:val="009F42A2"/>
    <w:rsid w:val="00A028C6"/>
    <w:rsid w:val="00A03D31"/>
    <w:rsid w:val="00A0417B"/>
    <w:rsid w:val="00A1060C"/>
    <w:rsid w:val="00A21120"/>
    <w:rsid w:val="00A2215A"/>
    <w:rsid w:val="00A2445A"/>
    <w:rsid w:val="00A523C3"/>
    <w:rsid w:val="00A61A96"/>
    <w:rsid w:val="00A725C1"/>
    <w:rsid w:val="00A80969"/>
    <w:rsid w:val="00A80BA1"/>
    <w:rsid w:val="00A81F39"/>
    <w:rsid w:val="00A82051"/>
    <w:rsid w:val="00A94C94"/>
    <w:rsid w:val="00AA353C"/>
    <w:rsid w:val="00AA5168"/>
    <w:rsid w:val="00AA73B9"/>
    <w:rsid w:val="00AB76C0"/>
    <w:rsid w:val="00AD057E"/>
    <w:rsid w:val="00AD059C"/>
    <w:rsid w:val="00AD7B9F"/>
    <w:rsid w:val="00AE4F72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52D57"/>
    <w:rsid w:val="00B76201"/>
    <w:rsid w:val="00B7688B"/>
    <w:rsid w:val="00B8210E"/>
    <w:rsid w:val="00B824F6"/>
    <w:rsid w:val="00B93B6C"/>
    <w:rsid w:val="00BA2037"/>
    <w:rsid w:val="00BA4FA6"/>
    <w:rsid w:val="00BA785A"/>
    <w:rsid w:val="00BB0632"/>
    <w:rsid w:val="00BB2E8F"/>
    <w:rsid w:val="00BB60B0"/>
    <w:rsid w:val="00BC1E97"/>
    <w:rsid w:val="00BD581D"/>
    <w:rsid w:val="00BE3403"/>
    <w:rsid w:val="00BE61FA"/>
    <w:rsid w:val="00BF0047"/>
    <w:rsid w:val="00BF2139"/>
    <w:rsid w:val="00C0209B"/>
    <w:rsid w:val="00C1784F"/>
    <w:rsid w:val="00C439AB"/>
    <w:rsid w:val="00C44E9D"/>
    <w:rsid w:val="00C46236"/>
    <w:rsid w:val="00C46C3B"/>
    <w:rsid w:val="00C46FE0"/>
    <w:rsid w:val="00C7040B"/>
    <w:rsid w:val="00C722D7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61381"/>
    <w:rsid w:val="00D613EC"/>
    <w:rsid w:val="00D96415"/>
    <w:rsid w:val="00DD1640"/>
    <w:rsid w:val="00DD4EB1"/>
    <w:rsid w:val="00DD5CA0"/>
    <w:rsid w:val="00DE6E10"/>
    <w:rsid w:val="00DF0100"/>
    <w:rsid w:val="00E0086D"/>
    <w:rsid w:val="00E07EAD"/>
    <w:rsid w:val="00E1166B"/>
    <w:rsid w:val="00E16657"/>
    <w:rsid w:val="00E22F74"/>
    <w:rsid w:val="00E37F19"/>
    <w:rsid w:val="00E40BAC"/>
    <w:rsid w:val="00E51C57"/>
    <w:rsid w:val="00E61149"/>
    <w:rsid w:val="00E64141"/>
    <w:rsid w:val="00E7487B"/>
    <w:rsid w:val="00E9221B"/>
    <w:rsid w:val="00EA1FA9"/>
    <w:rsid w:val="00EA73AC"/>
    <w:rsid w:val="00EB0055"/>
    <w:rsid w:val="00EB378F"/>
    <w:rsid w:val="00EB4017"/>
    <w:rsid w:val="00EE6A58"/>
    <w:rsid w:val="00EF13E3"/>
    <w:rsid w:val="00EF7DA7"/>
    <w:rsid w:val="00F01245"/>
    <w:rsid w:val="00F111A2"/>
    <w:rsid w:val="00F253CF"/>
    <w:rsid w:val="00F33572"/>
    <w:rsid w:val="00F47D1E"/>
    <w:rsid w:val="00F543F7"/>
    <w:rsid w:val="00F62E90"/>
    <w:rsid w:val="00F65917"/>
    <w:rsid w:val="00F663C7"/>
    <w:rsid w:val="00F739B9"/>
    <w:rsid w:val="00F95603"/>
    <w:rsid w:val="00FA7A37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12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3694</Words>
  <Characters>2106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Judita Kaveckienė</cp:lastModifiedBy>
  <cp:revision>2</cp:revision>
  <cp:lastPrinted>2022-12-15T08:46:00Z</cp:lastPrinted>
  <dcterms:created xsi:type="dcterms:W3CDTF">2023-11-14T12:48:00Z</dcterms:created>
  <dcterms:modified xsi:type="dcterms:W3CDTF">2023-11-14T12:48:00Z</dcterms:modified>
</cp:coreProperties>
</file>