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0A2" w:rsidRPr="00DD07F1" w:rsidRDefault="00E42C5F" w:rsidP="00DD07F1">
      <w:pPr>
        <w:jc w:val="center"/>
        <w:rPr>
          <w:b/>
        </w:rPr>
      </w:pPr>
      <w:r>
        <w:rPr>
          <w:b/>
        </w:rPr>
        <w:t xml:space="preserve">  </w:t>
      </w:r>
      <w:bookmarkStart w:id="0" w:name="_GoBack"/>
      <w:bookmarkEnd w:id="0"/>
      <w:r w:rsidR="00DD07F1" w:rsidRPr="00DD07F1">
        <w:rPr>
          <w:b/>
        </w:rPr>
        <w:t>Informacija</w:t>
      </w:r>
      <w:r w:rsidR="001A1BB1" w:rsidRPr="00DD07F1">
        <w:rPr>
          <w:b/>
        </w:rPr>
        <w:t xml:space="preserve"> kaimo reikalų </w:t>
      </w:r>
      <w:r w:rsidR="00F3365D" w:rsidRPr="00DD07F1">
        <w:rPr>
          <w:b/>
        </w:rPr>
        <w:t>komitetui</w:t>
      </w:r>
    </w:p>
    <w:p w:rsidR="00DD07F1" w:rsidRDefault="00DD07F1" w:rsidP="00DD07F1">
      <w:pPr>
        <w:ind w:firstLine="1296"/>
        <w:rPr>
          <w:b/>
        </w:rPr>
      </w:pPr>
      <w:r>
        <w:rPr>
          <w:b/>
        </w:rPr>
        <w:t xml:space="preserve">                         </w:t>
      </w:r>
      <w:r w:rsidR="00BB1056">
        <w:rPr>
          <w:b/>
        </w:rPr>
        <w:t xml:space="preserve">                                     </w:t>
      </w:r>
      <w:r>
        <w:rPr>
          <w:b/>
        </w:rPr>
        <w:t xml:space="preserve">  </w:t>
      </w:r>
      <w:r w:rsidR="001A1BB1" w:rsidRPr="00DD07F1">
        <w:rPr>
          <w:b/>
        </w:rPr>
        <w:t>a</w:t>
      </w:r>
      <w:r w:rsidR="00F3365D" w:rsidRPr="00DD07F1">
        <w:rPr>
          <w:b/>
        </w:rPr>
        <w:t>pie</w:t>
      </w:r>
      <w:r w:rsidR="001A1BB1" w:rsidRPr="00DD07F1">
        <w:rPr>
          <w:b/>
        </w:rPr>
        <w:t xml:space="preserve"> </w:t>
      </w:r>
      <w:r w:rsidRPr="00DD07F1">
        <w:rPr>
          <w:b/>
        </w:rPr>
        <w:t>planuojamą biudžeto poreikį 2024m.</w:t>
      </w:r>
    </w:p>
    <w:p w:rsidR="00DD07F1" w:rsidRPr="00DD07F1" w:rsidRDefault="00DD07F1" w:rsidP="00DD07F1">
      <w:pPr>
        <w:ind w:firstLine="1296"/>
        <w:rPr>
          <w:b/>
          <w:sz w:val="22"/>
          <w:szCs w:val="22"/>
        </w:rPr>
      </w:pPr>
      <w:r>
        <w:rPr>
          <w:b/>
        </w:rPr>
        <w:t xml:space="preserve">                                            </w:t>
      </w:r>
      <w:r w:rsidR="00BB1056">
        <w:rPr>
          <w:b/>
        </w:rPr>
        <w:t xml:space="preserve">                                       </w:t>
      </w:r>
      <w:r>
        <w:rPr>
          <w:b/>
        </w:rPr>
        <w:t xml:space="preserve">   (be mokos fondo)</w:t>
      </w:r>
    </w:p>
    <w:p w:rsidR="006F042C" w:rsidRPr="00DD07F1" w:rsidRDefault="006F042C" w:rsidP="00DD07F1">
      <w:pPr>
        <w:jc w:val="center"/>
        <w:rPr>
          <w:b/>
        </w:rPr>
      </w:pPr>
    </w:p>
    <w:p w:rsidR="00F3365D" w:rsidRDefault="00AA03DF" w:rsidP="00F3365D">
      <w:pPr>
        <w:jc w:val="center"/>
        <w:rPr>
          <w:b/>
        </w:rPr>
      </w:pPr>
      <w:r w:rsidRPr="001A1BB1">
        <w:rPr>
          <w:b/>
        </w:rPr>
        <w:t>ALSĖDŽIŲ</w:t>
      </w:r>
      <w:r w:rsidR="001A1BB1">
        <w:rPr>
          <w:b/>
        </w:rPr>
        <w:t xml:space="preserve"> s</w:t>
      </w:r>
      <w:r w:rsidR="00F3365D">
        <w:rPr>
          <w:b/>
        </w:rPr>
        <w:t>eniūnij</w:t>
      </w:r>
      <w:r w:rsidR="001A1BB1">
        <w:rPr>
          <w:b/>
        </w:rPr>
        <w:t>a</w:t>
      </w:r>
    </w:p>
    <w:p w:rsidR="001A1BB1" w:rsidRDefault="001A1BB1" w:rsidP="00F3365D">
      <w:pPr>
        <w:jc w:val="center"/>
        <w:rPr>
          <w:b/>
        </w:rPr>
      </w:pPr>
    </w:p>
    <w:p w:rsidR="001A1BB1" w:rsidRPr="001A1BB1" w:rsidRDefault="001A1BB1" w:rsidP="00F3365D">
      <w:pPr>
        <w:jc w:val="center"/>
      </w:pPr>
      <w:r w:rsidRPr="001A1BB1">
        <w:t>202</w:t>
      </w:r>
      <w:r w:rsidR="00DD07F1">
        <w:t>3</w:t>
      </w:r>
      <w:r w:rsidRPr="001A1BB1">
        <w:t xml:space="preserve"> m. </w:t>
      </w:r>
      <w:r w:rsidR="00DD07F1">
        <w:t>spalio 10</w:t>
      </w:r>
      <w:r w:rsidRPr="001A1BB1">
        <w:t xml:space="preserve"> d.</w:t>
      </w:r>
    </w:p>
    <w:p w:rsidR="00DD07F1" w:rsidRDefault="001A1BB1" w:rsidP="00F3365D">
      <w:pPr>
        <w:jc w:val="center"/>
      </w:pPr>
      <w:r w:rsidRPr="001A1BB1">
        <w:t>Alsėdžiai</w:t>
      </w:r>
    </w:p>
    <w:p w:rsidR="001F021C" w:rsidRDefault="001F021C" w:rsidP="00F3365D">
      <w:pPr>
        <w:jc w:val="center"/>
      </w:pPr>
    </w:p>
    <w:p w:rsidR="001F021C" w:rsidRDefault="001F021C" w:rsidP="00E21EA6">
      <w:pPr>
        <w:jc w:val="both"/>
      </w:pPr>
      <w:r>
        <w:tab/>
        <w:t>Vadovaujantis komiteto darbo planu ir nustatytais terminais teikiame informaciją apie rengiamą seniūnijos 2024 metų biudžeto poreikį. Kadangi nebuvo nustatyta informacijos pateikimo forma, teikiame ją savo nuožiūra</w:t>
      </w:r>
      <w:r w:rsidR="00861344">
        <w:t>.</w:t>
      </w:r>
      <w:r>
        <w:t xml:space="preserve"> </w:t>
      </w:r>
      <w:r w:rsidR="00861344">
        <w:t>Kad neapkrautume komiteto narių pildomomis biudžeto poreikio formomis</w:t>
      </w:r>
      <w:r w:rsidR="00861344">
        <w:t xml:space="preserve">, </w:t>
      </w:r>
      <w:r>
        <w:t>pradžioje išskir</w:t>
      </w:r>
      <w:r w:rsidR="00861344">
        <w:t>iame</w:t>
      </w:r>
      <w:r>
        <w:t xml:space="preserve"> keletą svarbesnių punktų, </w:t>
      </w:r>
      <w:r w:rsidR="00E21EA6">
        <w:t xml:space="preserve">kurie </w:t>
      </w:r>
      <w:r>
        <w:t xml:space="preserve">reikalauja didesnių </w:t>
      </w:r>
      <w:r w:rsidR="00861344">
        <w:t xml:space="preserve">papildomų </w:t>
      </w:r>
      <w:r w:rsidR="00E21EA6">
        <w:t xml:space="preserve">investicijų, </w:t>
      </w:r>
      <w:r w:rsidR="00861344">
        <w:t xml:space="preserve">o </w:t>
      </w:r>
      <w:r w:rsidR="00E21EA6">
        <w:t xml:space="preserve">žemiau pateikiame koncentruotą informaciją bei palyginimą su 2023 metų teiktu biudžeto poreikiu, skirtais </w:t>
      </w:r>
      <w:proofErr w:type="spellStart"/>
      <w:r w:rsidR="00E21EA6">
        <w:t>asignavimais</w:t>
      </w:r>
      <w:proofErr w:type="spellEnd"/>
      <w:r w:rsidR="00E21EA6">
        <w:t xml:space="preserve"> bei paaiškinimais.</w:t>
      </w:r>
    </w:p>
    <w:p w:rsidR="00E21EA6" w:rsidRPr="00E21EA6" w:rsidRDefault="00E21EA6" w:rsidP="00E21EA6">
      <w:pPr>
        <w:numPr>
          <w:ilvl w:val="0"/>
          <w:numId w:val="6"/>
        </w:numPr>
        <w:jc w:val="both"/>
      </w:pPr>
      <w:r w:rsidRPr="00E21EA6">
        <w:t xml:space="preserve">2024 metų pavasarį baigiasi </w:t>
      </w:r>
      <w:r w:rsidRPr="00E21EA6">
        <w:t xml:space="preserve">visų kaimiškųjų seniūnijų </w:t>
      </w:r>
      <w:r w:rsidRPr="00E21EA6">
        <w:t xml:space="preserve">turimų automobilių nuomos terminas. Bus reikalinga sudaryti naujas nuomos sutartis, kurių kaina tikėtina bus didesnė preliminariai 200 </w:t>
      </w:r>
      <w:proofErr w:type="spellStart"/>
      <w:r w:rsidRPr="00E21EA6">
        <w:t>Eur</w:t>
      </w:r>
      <w:proofErr w:type="spellEnd"/>
      <w:r w:rsidRPr="00E21EA6">
        <w:t>./mėn. Todėl poreikis planuojamas 2,5 tūkst. didesnis</w:t>
      </w:r>
      <w:r w:rsidRPr="00E21EA6">
        <w:t xml:space="preserve"> prie jau kasmet planuojamų išlaidų transportui</w:t>
      </w:r>
      <w:r w:rsidR="00D466BD">
        <w:t xml:space="preserve">. </w:t>
      </w:r>
      <w:r w:rsidRPr="00E21EA6">
        <w:t>Dar kitais 2025 metais būtų tikslinga planuoti lėšas antro automobilio, kuriuo naudojasi darbininkai įsigijimui, nes dabartinis automobilis 2007 metų gamybos</w:t>
      </w:r>
      <w:r w:rsidR="00D466BD">
        <w:t>.</w:t>
      </w:r>
    </w:p>
    <w:p w:rsidR="00D466BD" w:rsidRPr="00D466BD" w:rsidRDefault="00D466BD" w:rsidP="00D466BD">
      <w:pPr>
        <w:numPr>
          <w:ilvl w:val="0"/>
          <w:numId w:val="6"/>
        </w:numPr>
        <w:jc w:val="both"/>
      </w:pPr>
      <w:r>
        <w:t xml:space="preserve">Didesnis sezoninių darbininkų poreikis. </w:t>
      </w:r>
      <w:r>
        <w:t>2023 metais</w:t>
      </w:r>
      <w:r>
        <w:t xml:space="preserve"> </w:t>
      </w:r>
      <w:r>
        <w:t xml:space="preserve">11,8 tūkst. </w:t>
      </w:r>
      <w:r>
        <w:t xml:space="preserve">iš skirto seniūnijos biudžeto </w:t>
      </w:r>
      <w:r>
        <w:t>buvo iškelta sezoninių darbuotojų atlyginimams. Už tą sumą buvo įdarbinti tik 2 darbuotojai 6,3 mėn. laikotarpiui.</w:t>
      </w:r>
      <w:r>
        <w:t xml:space="preserve"> Prašoma papildomai 10,0 tūkst. </w:t>
      </w:r>
      <w:proofErr w:type="spellStart"/>
      <w:r>
        <w:t>Eur</w:t>
      </w:r>
      <w:proofErr w:type="spellEnd"/>
      <w:r>
        <w:t>., Kad būtų galima įdarbinti papildomai dar pora žmonių kokiems 5-iems mėnesiams.</w:t>
      </w:r>
    </w:p>
    <w:p w:rsidR="00D466BD" w:rsidRDefault="00E21EA6" w:rsidP="00D466BD">
      <w:pPr>
        <w:pStyle w:val="Debesliotekstas"/>
        <w:numPr>
          <w:ilvl w:val="0"/>
          <w:numId w:val="6"/>
        </w:numPr>
        <w:jc w:val="both"/>
        <w:rPr>
          <w:rFonts w:ascii="Times New Roman" w:hAnsi="Times New Roman"/>
          <w:sz w:val="24"/>
          <w:szCs w:val="24"/>
        </w:rPr>
      </w:pPr>
      <w:r w:rsidRPr="00D466BD">
        <w:rPr>
          <w:b/>
        </w:rPr>
        <w:t xml:space="preserve"> </w:t>
      </w:r>
      <w:r w:rsidR="00D466BD" w:rsidRPr="00D466BD">
        <w:rPr>
          <w:rFonts w:ascii="Times New Roman" w:hAnsi="Times New Roman" w:cs="Times New Roman"/>
          <w:sz w:val="24"/>
          <w:szCs w:val="24"/>
        </w:rPr>
        <w:t>Gatvių apšvietimo remontui ir plėtrai</w:t>
      </w:r>
      <w:r w:rsidR="00D466BD" w:rsidRPr="00D466BD">
        <w:t xml:space="preserve"> - </w:t>
      </w:r>
      <w:r w:rsidR="00D466BD" w:rsidRPr="00D466BD">
        <w:rPr>
          <w:rFonts w:ascii="Times New Roman" w:hAnsi="Times New Roman"/>
          <w:sz w:val="24"/>
          <w:szCs w:val="24"/>
        </w:rPr>
        <w:t>Žaliosios gatvės apšvietimui renovuoti – 66,0 tūkst.</w:t>
      </w:r>
      <w:r w:rsidR="00D466BD">
        <w:rPr>
          <w:rFonts w:ascii="Times New Roman" w:hAnsi="Times New Roman"/>
          <w:sz w:val="24"/>
          <w:szCs w:val="24"/>
        </w:rPr>
        <w:t xml:space="preserve"> </w:t>
      </w:r>
      <w:proofErr w:type="spellStart"/>
      <w:r w:rsidR="00D466BD">
        <w:rPr>
          <w:rFonts w:ascii="Times New Roman" w:hAnsi="Times New Roman"/>
          <w:sz w:val="24"/>
          <w:szCs w:val="24"/>
        </w:rPr>
        <w:t>Eur</w:t>
      </w:r>
      <w:proofErr w:type="spellEnd"/>
      <w:r w:rsidR="00D466BD">
        <w:rPr>
          <w:rFonts w:ascii="Times New Roman" w:hAnsi="Times New Roman"/>
          <w:sz w:val="24"/>
          <w:szCs w:val="24"/>
        </w:rPr>
        <w:t xml:space="preserve">. Alsėdžių seniūnija nėra patekusi į kaimiškų gyvenviečių gatvių apšvietimo renovacijos etapą. </w:t>
      </w:r>
      <w:r w:rsidR="00D466BD">
        <w:rPr>
          <w:rFonts w:ascii="Times New Roman" w:hAnsi="Times New Roman"/>
          <w:sz w:val="24"/>
          <w:szCs w:val="24"/>
        </w:rPr>
        <w:t xml:space="preserve"> Yra parengtas projektas, g</w:t>
      </w:r>
      <w:r w:rsidR="00D466BD">
        <w:rPr>
          <w:rFonts w:ascii="Times New Roman" w:hAnsi="Times New Roman"/>
          <w:sz w:val="24"/>
          <w:szCs w:val="24"/>
        </w:rPr>
        <w:t xml:space="preserve">atvės apšvietimo renovacijai reikėtų apie 66,0 tūkst. </w:t>
      </w:r>
      <w:proofErr w:type="spellStart"/>
      <w:r w:rsidR="00D466BD">
        <w:rPr>
          <w:rFonts w:ascii="Times New Roman" w:hAnsi="Times New Roman"/>
          <w:sz w:val="24"/>
          <w:szCs w:val="24"/>
        </w:rPr>
        <w:t>Eur</w:t>
      </w:r>
      <w:proofErr w:type="spellEnd"/>
      <w:r w:rsidR="00D466BD">
        <w:rPr>
          <w:rFonts w:ascii="Times New Roman" w:hAnsi="Times New Roman"/>
          <w:sz w:val="24"/>
          <w:szCs w:val="24"/>
        </w:rPr>
        <w:t xml:space="preserve"> (2021 metų kainų skaičiavimas). </w:t>
      </w:r>
    </w:p>
    <w:p w:rsidR="00861344" w:rsidRDefault="00861344" w:rsidP="00861344">
      <w:pPr>
        <w:numPr>
          <w:ilvl w:val="0"/>
          <w:numId w:val="6"/>
        </w:numPr>
        <w:jc w:val="both"/>
      </w:pPr>
      <w:r w:rsidRPr="00861344">
        <w:rPr>
          <w:u w:val="single"/>
        </w:rPr>
        <w:t xml:space="preserve">Vietinės reikšmės kelių ir gatvių priežiūrai ir remontui </w:t>
      </w:r>
      <w:r w:rsidRPr="00861344">
        <w:t xml:space="preserve">– 5,2 tūkst. </w:t>
      </w:r>
      <w:proofErr w:type="spellStart"/>
      <w:r w:rsidRPr="00861344">
        <w:t>Eur</w:t>
      </w:r>
      <w:proofErr w:type="spellEnd"/>
      <w:r w:rsidRPr="00861344">
        <w:t>.</w:t>
      </w:r>
      <w:r>
        <w:t xml:space="preserve"> Iš KPP programos 2023 m. buvo skirta 25,8 tūkst. Šiais metais, per kaimo reikalų komiteto pirmininko bendrą pasitarimą su seniūnais buvo minima, kad kiekvienais metais siekti, kad prie skiriamų KPP lėšų iš biudžeto būtų skiriama po 20 </w:t>
      </w:r>
      <w:r>
        <w:rPr>
          <w:lang w:val="en-US"/>
        </w:rPr>
        <w:t>%</w:t>
      </w:r>
      <w:r>
        <w:t xml:space="preserve"> vietinės reikšmės kelių priežiūrai (be skiriamų lėšų sniego valymui). Kas sutarytų 5,2 tūkst.  Būtina ieškoti būdų ir lėšų, kaip ir atskira eilute skirti lėšų šaligatvių remontui.</w:t>
      </w:r>
    </w:p>
    <w:p w:rsidR="00861344" w:rsidRDefault="00861344" w:rsidP="00861344">
      <w:pPr>
        <w:numPr>
          <w:ilvl w:val="0"/>
          <w:numId w:val="6"/>
        </w:numPr>
        <w:jc w:val="both"/>
      </w:pPr>
      <w:r w:rsidRPr="00861344">
        <w:t xml:space="preserve">Žaidimų aikštelių patikrai ir remontui – 2,0 tūkst. </w:t>
      </w:r>
      <w:proofErr w:type="spellStart"/>
      <w:r w:rsidRPr="00861344">
        <w:t>Eur</w:t>
      </w:r>
      <w:proofErr w:type="spellEnd"/>
      <w:r>
        <w:t xml:space="preserve">. Esamų vaikų žaidimų aikštelių patikrai preliminariai reikalinga 600 </w:t>
      </w:r>
      <w:proofErr w:type="spellStart"/>
      <w:r>
        <w:t>Eur</w:t>
      </w:r>
      <w:proofErr w:type="spellEnd"/>
      <w:r>
        <w:t xml:space="preserve">. Tos aikštelės yra įrengtos bendruomenių lėšomis. Jos bus perduodamos į savivaldybės/seniūnijos turto balansą. Būtina joms atlikti patikrą ir remontuoti pagal </w:t>
      </w:r>
      <w:r>
        <w:t xml:space="preserve">gautas </w:t>
      </w:r>
      <w:r>
        <w:t>rekomendacijas</w:t>
      </w:r>
      <w:r>
        <w:t>.</w:t>
      </w:r>
    </w:p>
    <w:p w:rsidR="00861344" w:rsidRPr="00861344" w:rsidRDefault="00861344" w:rsidP="00D466BD">
      <w:pPr>
        <w:pStyle w:val="Debesliotekstas"/>
        <w:numPr>
          <w:ilvl w:val="0"/>
          <w:numId w:val="6"/>
        </w:numPr>
        <w:jc w:val="both"/>
        <w:rPr>
          <w:rFonts w:ascii="Times New Roman" w:hAnsi="Times New Roman" w:cs="Times New Roman"/>
          <w:sz w:val="24"/>
          <w:szCs w:val="24"/>
        </w:rPr>
      </w:pPr>
      <w:r w:rsidRPr="00861344">
        <w:rPr>
          <w:rFonts w:ascii="Times New Roman" w:hAnsi="Times New Roman" w:cs="Times New Roman"/>
          <w:sz w:val="24"/>
          <w:szCs w:val="24"/>
        </w:rPr>
        <w:t xml:space="preserve">Alsėdžių kapinių aptvėrimui – Alsėdžių kapinių bendras plotas – 5,5980 ha. Išorinių kraštinių perimetro ilgis - apie 1000 m. dalis perimetro yra aptverta – apie 250 m. Kitoje dalyje aptvėrimo nėra. Pastaraisiais metais daug piliečių nusiskundimų, kad kapinės neaptvertos ir jose laukiniai žvėrys: lapės, stirnos, barsukai  pridaro nuotolių, nugraužia augalus, gėles. Lėšų poreikis </w:t>
      </w:r>
      <w:r>
        <w:rPr>
          <w:rFonts w:ascii="Times New Roman" w:hAnsi="Times New Roman" w:cs="Times New Roman"/>
          <w:sz w:val="24"/>
          <w:szCs w:val="24"/>
        </w:rPr>
        <w:t>nėra aiškus</w:t>
      </w:r>
      <w:r w:rsidRPr="00861344">
        <w:rPr>
          <w:rFonts w:ascii="Times New Roman" w:hAnsi="Times New Roman" w:cs="Times New Roman"/>
          <w:sz w:val="24"/>
          <w:szCs w:val="24"/>
        </w:rPr>
        <w:t>, sąmatos nėra. Būtina parengti darbų sąmatą.</w:t>
      </w:r>
      <w:r>
        <w:rPr>
          <w:rFonts w:ascii="Times New Roman" w:hAnsi="Times New Roman" w:cs="Times New Roman"/>
          <w:sz w:val="24"/>
          <w:szCs w:val="24"/>
        </w:rPr>
        <w:t xml:space="preserve"> Būtina šį klausimą spręsti artimiausiu laiku.</w:t>
      </w:r>
    </w:p>
    <w:p w:rsidR="00E21EA6" w:rsidRPr="00254ACB" w:rsidRDefault="00E21EA6" w:rsidP="00D466BD">
      <w:pPr>
        <w:jc w:val="both"/>
        <w:rPr>
          <w:b/>
        </w:rPr>
      </w:pPr>
    </w:p>
    <w:p w:rsidR="00E21EA6" w:rsidRDefault="00E21EA6" w:rsidP="001F021C"/>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1495"/>
        <w:gridCol w:w="1690"/>
        <w:gridCol w:w="1452"/>
        <w:gridCol w:w="1554"/>
        <w:gridCol w:w="6875"/>
      </w:tblGrid>
      <w:tr w:rsidR="00254ACB" w:rsidTr="00254ACB">
        <w:tc>
          <w:tcPr>
            <w:tcW w:w="1643" w:type="dxa"/>
            <w:shd w:val="clear" w:color="auto" w:fill="auto"/>
          </w:tcPr>
          <w:p w:rsidR="002D5483" w:rsidRPr="00254ACB" w:rsidRDefault="002D5483" w:rsidP="00254ACB">
            <w:pPr>
              <w:jc w:val="center"/>
              <w:rPr>
                <w:b/>
              </w:rPr>
            </w:pPr>
            <w:proofErr w:type="spellStart"/>
            <w:r w:rsidRPr="00254ACB">
              <w:rPr>
                <w:b/>
              </w:rPr>
              <w:lastRenderedPageBreak/>
              <w:t>šlaidų</w:t>
            </w:r>
            <w:proofErr w:type="spellEnd"/>
            <w:r w:rsidRPr="00254ACB">
              <w:rPr>
                <w:b/>
              </w:rPr>
              <w:t xml:space="preserve"> kategorija</w:t>
            </w:r>
          </w:p>
        </w:tc>
        <w:tc>
          <w:tcPr>
            <w:tcW w:w="1495" w:type="dxa"/>
            <w:shd w:val="clear" w:color="auto" w:fill="auto"/>
          </w:tcPr>
          <w:p w:rsidR="002D5483" w:rsidRPr="00254ACB" w:rsidRDefault="002D5483" w:rsidP="00254ACB">
            <w:pPr>
              <w:jc w:val="center"/>
              <w:rPr>
                <w:b/>
              </w:rPr>
            </w:pPr>
            <w:r w:rsidRPr="00254ACB">
              <w:rPr>
                <w:b/>
              </w:rPr>
              <w:t xml:space="preserve">Buvo pateiktas biudžeto poreikis 2023 m. </w:t>
            </w:r>
          </w:p>
          <w:p w:rsidR="00FC1680" w:rsidRDefault="00FC1680" w:rsidP="00254ACB">
            <w:pPr>
              <w:jc w:val="center"/>
              <w:rPr>
                <w:b/>
              </w:rPr>
            </w:pPr>
          </w:p>
          <w:p w:rsidR="002D5483" w:rsidRPr="00254ACB" w:rsidRDefault="002D5483" w:rsidP="00254ACB">
            <w:pPr>
              <w:jc w:val="center"/>
              <w:rPr>
                <w:b/>
              </w:rPr>
            </w:pPr>
            <w:r w:rsidRPr="00254ACB">
              <w:rPr>
                <w:b/>
              </w:rPr>
              <w:t xml:space="preserve">(tūkst. </w:t>
            </w:r>
            <w:proofErr w:type="spellStart"/>
            <w:r w:rsidRPr="00254ACB">
              <w:rPr>
                <w:b/>
              </w:rPr>
              <w:t>Eur</w:t>
            </w:r>
            <w:proofErr w:type="spellEnd"/>
            <w:r w:rsidRPr="00254ACB">
              <w:rPr>
                <w:b/>
              </w:rPr>
              <w:t>.)</w:t>
            </w:r>
          </w:p>
        </w:tc>
        <w:tc>
          <w:tcPr>
            <w:tcW w:w="1690" w:type="dxa"/>
            <w:shd w:val="clear" w:color="auto" w:fill="auto"/>
          </w:tcPr>
          <w:p w:rsidR="002D5483" w:rsidRPr="00254ACB" w:rsidRDefault="002D5483" w:rsidP="00254ACB">
            <w:pPr>
              <w:jc w:val="center"/>
              <w:rPr>
                <w:b/>
              </w:rPr>
            </w:pPr>
            <w:r w:rsidRPr="00254ACB">
              <w:rPr>
                <w:b/>
              </w:rPr>
              <w:t>Skirti</w:t>
            </w:r>
          </w:p>
          <w:p w:rsidR="002D5483" w:rsidRPr="00254ACB" w:rsidRDefault="002D5483" w:rsidP="00254ACB">
            <w:pPr>
              <w:jc w:val="center"/>
              <w:rPr>
                <w:b/>
              </w:rPr>
            </w:pPr>
            <w:r w:rsidRPr="00254ACB">
              <w:rPr>
                <w:b/>
              </w:rPr>
              <w:t xml:space="preserve"> asignavimai tvirtinant biudžetą</w:t>
            </w:r>
          </w:p>
          <w:p w:rsidR="002D5483" w:rsidRPr="00254ACB" w:rsidRDefault="002D5483" w:rsidP="00254ACB">
            <w:pPr>
              <w:jc w:val="center"/>
              <w:rPr>
                <w:b/>
              </w:rPr>
            </w:pPr>
            <w:r w:rsidRPr="00254ACB">
              <w:rPr>
                <w:b/>
              </w:rPr>
              <w:t>2023</w:t>
            </w:r>
          </w:p>
          <w:p w:rsidR="00FC1680" w:rsidRDefault="00FC1680" w:rsidP="00254ACB">
            <w:pPr>
              <w:jc w:val="center"/>
              <w:rPr>
                <w:b/>
              </w:rPr>
            </w:pPr>
          </w:p>
          <w:p w:rsidR="002D5483" w:rsidRPr="00254ACB" w:rsidRDefault="002D5483" w:rsidP="00254ACB">
            <w:pPr>
              <w:jc w:val="center"/>
              <w:rPr>
                <w:b/>
              </w:rPr>
            </w:pPr>
            <w:r w:rsidRPr="00254ACB">
              <w:rPr>
                <w:b/>
              </w:rPr>
              <w:t xml:space="preserve">(tūkst. </w:t>
            </w:r>
            <w:proofErr w:type="spellStart"/>
            <w:r w:rsidRPr="00254ACB">
              <w:rPr>
                <w:b/>
              </w:rPr>
              <w:t>Eur</w:t>
            </w:r>
            <w:proofErr w:type="spellEnd"/>
            <w:r w:rsidRPr="00254ACB">
              <w:rPr>
                <w:b/>
              </w:rPr>
              <w:t>.)</w:t>
            </w:r>
          </w:p>
        </w:tc>
        <w:tc>
          <w:tcPr>
            <w:tcW w:w="1452" w:type="dxa"/>
            <w:shd w:val="clear" w:color="auto" w:fill="auto"/>
          </w:tcPr>
          <w:p w:rsidR="002D5483" w:rsidRPr="00254ACB" w:rsidRDefault="002D5483" w:rsidP="00254ACB">
            <w:pPr>
              <w:jc w:val="center"/>
              <w:rPr>
                <w:b/>
              </w:rPr>
            </w:pPr>
            <w:r w:rsidRPr="00254ACB">
              <w:rPr>
                <w:b/>
              </w:rPr>
              <w:t>Skirta papildomai pagal atskirus prašymus</w:t>
            </w:r>
          </w:p>
          <w:p w:rsidR="002D5483" w:rsidRPr="00254ACB" w:rsidRDefault="002D5483" w:rsidP="00254ACB">
            <w:pPr>
              <w:jc w:val="center"/>
              <w:rPr>
                <w:b/>
              </w:rPr>
            </w:pPr>
            <w:r w:rsidRPr="00254ACB">
              <w:rPr>
                <w:b/>
              </w:rPr>
              <w:t xml:space="preserve">(tūkst. </w:t>
            </w:r>
            <w:proofErr w:type="spellStart"/>
            <w:r w:rsidRPr="00254ACB">
              <w:rPr>
                <w:b/>
              </w:rPr>
              <w:t>Eur</w:t>
            </w:r>
            <w:proofErr w:type="spellEnd"/>
            <w:r w:rsidRPr="00254ACB">
              <w:rPr>
                <w:b/>
              </w:rPr>
              <w:t>.)</w:t>
            </w:r>
          </w:p>
        </w:tc>
        <w:tc>
          <w:tcPr>
            <w:tcW w:w="1554" w:type="dxa"/>
            <w:shd w:val="clear" w:color="auto" w:fill="auto"/>
          </w:tcPr>
          <w:p w:rsidR="002D5483" w:rsidRPr="00254ACB" w:rsidRDefault="002D5483" w:rsidP="00254ACB">
            <w:pPr>
              <w:jc w:val="center"/>
              <w:rPr>
                <w:b/>
              </w:rPr>
            </w:pPr>
            <w:r w:rsidRPr="00254ACB">
              <w:rPr>
                <w:b/>
              </w:rPr>
              <w:t>Planuojamas biudžeto</w:t>
            </w:r>
          </w:p>
          <w:p w:rsidR="002D5483" w:rsidRPr="00254ACB" w:rsidRDefault="002D5483" w:rsidP="00254ACB">
            <w:pPr>
              <w:jc w:val="center"/>
              <w:rPr>
                <w:b/>
              </w:rPr>
            </w:pPr>
            <w:r w:rsidRPr="00254ACB">
              <w:rPr>
                <w:b/>
              </w:rPr>
              <w:t xml:space="preserve"> poreikis</w:t>
            </w:r>
          </w:p>
          <w:p w:rsidR="002D5483" w:rsidRPr="00254ACB" w:rsidRDefault="002D5483" w:rsidP="00254ACB">
            <w:pPr>
              <w:jc w:val="center"/>
              <w:rPr>
                <w:b/>
              </w:rPr>
            </w:pPr>
            <w:r w:rsidRPr="00254ACB">
              <w:rPr>
                <w:b/>
              </w:rPr>
              <w:t>2024 m.</w:t>
            </w:r>
          </w:p>
          <w:p w:rsidR="002D5483" w:rsidRPr="00254ACB" w:rsidRDefault="002D5483" w:rsidP="00254ACB">
            <w:pPr>
              <w:jc w:val="center"/>
              <w:rPr>
                <w:b/>
              </w:rPr>
            </w:pPr>
          </w:p>
          <w:p w:rsidR="00FC1680" w:rsidRDefault="00FC1680" w:rsidP="00254ACB">
            <w:pPr>
              <w:jc w:val="center"/>
              <w:rPr>
                <w:b/>
              </w:rPr>
            </w:pPr>
          </w:p>
          <w:p w:rsidR="002D5483" w:rsidRPr="00254ACB" w:rsidRDefault="002D5483" w:rsidP="00254ACB">
            <w:pPr>
              <w:jc w:val="center"/>
              <w:rPr>
                <w:b/>
              </w:rPr>
            </w:pPr>
            <w:r w:rsidRPr="00254ACB">
              <w:rPr>
                <w:b/>
              </w:rPr>
              <w:t xml:space="preserve">(tūkst. </w:t>
            </w:r>
            <w:proofErr w:type="spellStart"/>
            <w:r w:rsidRPr="00254ACB">
              <w:rPr>
                <w:b/>
              </w:rPr>
              <w:t>Eur</w:t>
            </w:r>
            <w:proofErr w:type="spellEnd"/>
            <w:r w:rsidRPr="00254ACB">
              <w:rPr>
                <w:b/>
              </w:rPr>
              <w:t xml:space="preserve">.) </w:t>
            </w:r>
          </w:p>
        </w:tc>
        <w:tc>
          <w:tcPr>
            <w:tcW w:w="6875" w:type="dxa"/>
            <w:shd w:val="clear" w:color="auto" w:fill="auto"/>
          </w:tcPr>
          <w:p w:rsidR="002D5483" w:rsidRPr="00254ACB" w:rsidRDefault="002D5483" w:rsidP="00254ACB">
            <w:pPr>
              <w:jc w:val="center"/>
              <w:rPr>
                <w:b/>
              </w:rPr>
            </w:pPr>
            <w:r w:rsidRPr="00254ACB">
              <w:rPr>
                <w:b/>
              </w:rPr>
              <w:t xml:space="preserve">Pastabos, </w:t>
            </w:r>
          </w:p>
          <w:p w:rsidR="002D5483" w:rsidRPr="00254ACB" w:rsidRDefault="002D5483" w:rsidP="00254ACB">
            <w:pPr>
              <w:jc w:val="center"/>
              <w:rPr>
                <w:b/>
              </w:rPr>
            </w:pPr>
            <w:r w:rsidRPr="00254ACB">
              <w:rPr>
                <w:b/>
              </w:rPr>
              <w:t>paaiškinimai</w:t>
            </w:r>
          </w:p>
        </w:tc>
      </w:tr>
      <w:tr w:rsidR="00254ACB" w:rsidTr="00254ACB">
        <w:tc>
          <w:tcPr>
            <w:tcW w:w="1643" w:type="dxa"/>
            <w:shd w:val="clear" w:color="auto" w:fill="auto"/>
          </w:tcPr>
          <w:p w:rsidR="002D5483" w:rsidRPr="00254ACB" w:rsidRDefault="002D5483" w:rsidP="00254ACB">
            <w:pPr>
              <w:jc w:val="center"/>
              <w:rPr>
                <w:b/>
              </w:rPr>
            </w:pPr>
            <w:r w:rsidRPr="00254ACB">
              <w:rPr>
                <w:b/>
                <w:i/>
                <w:u w:val="single"/>
              </w:rPr>
              <w:t>Valdymas</w:t>
            </w:r>
            <w:r w:rsidRPr="00254ACB">
              <w:rPr>
                <w:b/>
              </w:rPr>
              <w:t>:</w:t>
            </w:r>
          </w:p>
        </w:tc>
        <w:tc>
          <w:tcPr>
            <w:tcW w:w="1495" w:type="dxa"/>
            <w:shd w:val="clear" w:color="auto" w:fill="auto"/>
          </w:tcPr>
          <w:p w:rsidR="002D5483" w:rsidRDefault="002D5483" w:rsidP="00254ACB">
            <w:pPr>
              <w:jc w:val="center"/>
            </w:pPr>
          </w:p>
        </w:tc>
        <w:tc>
          <w:tcPr>
            <w:tcW w:w="1690" w:type="dxa"/>
            <w:shd w:val="clear" w:color="auto" w:fill="auto"/>
          </w:tcPr>
          <w:p w:rsidR="002D5483" w:rsidRDefault="002D5483" w:rsidP="00254ACB">
            <w:pPr>
              <w:jc w:val="center"/>
            </w:pPr>
          </w:p>
        </w:tc>
        <w:tc>
          <w:tcPr>
            <w:tcW w:w="1452" w:type="dxa"/>
            <w:shd w:val="clear" w:color="auto" w:fill="auto"/>
          </w:tcPr>
          <w:p w:rsidR="002D5483" w:rsidRDefault="002D5483" w:rsidP="00254ACB">
            <w:pPr>
              <w:jc w:val="center"/>
            </w:pPr>
          </w:p>
        </w:tc>
        <w:tc>
          <w:tcPr>
            <w:tcW w:w="1554" w:type="dxa"/>
            <w:shd w:val="clear" w:color="auto" w:fill="auto"/>
          </w:tcPr>
          <w:p w:rsidR="002D5483" w:rsidRDefault="002D5483" w:rsidP="00254ACB">
            <w:pPr>
              <w:jc w:val="center"/>
            </w:pPr>
          </w:p>
        </w:tc>
        <w:tc>
          <w:tcPr>
            <w:tcW w:w="6875" w:type="dxa"/>
            <w:shd w:val="clear" w:color="auto" w:fill="auto"/>
          </w:tcPr>
          <w:p w:rsidR="002D5483" w:rsidRDefault="002D5483" w:rsidP="00254ACB">
            <w:pPr>
              <w:jc w:val="both"/>
            </w:pPr>
          </w:p>
        </w:tc>
      </w:tr>
      <w:tr w:rsidR="00254ACB" w:rsidTr="00254ACB">
        <w:tc>
          <w:tcPr>
            <w:tcW w:w="1643" w:type="dxa"/>
            <w:shd w:val="clear" w:color="auto" w:fill="auto"/>
          </w:tcPr>
          <w:p w:rsidR="002D5483" w:rsidRDefault="002D5483" w:rsidP="00254ACB">
            <w:pPr>
              <w:jc w:val="center"/>
            </w:pPr>
            <w:r>
              <w:t>Išlaidos komunalinėms reikmėms</w:t>
            </w:r>
          </w:p>
        </w:tc>
        <w:tc>
          <w:tcPr>
            <w:tcW w:w="1495" w:type="dxa"/>
            <w:shd w:val="clear" w:color="auto" w:fill="auto"/>
          </w:tcPr>
          <w:p w:rsidR="002D5483" w:rsidRDefault="002D5483" w:rsidP="00254ACB">
            <w:pPr>
              <w:jc w:val="center"/>
            </w:pPr>
            <w:r>
              <w:t>13,7</w:t>
            </w:r>
          </w:p>
        </w:tc>
        <w:tc>
          <w:tcPr>
            <w:tcW w:w="1690" w:type="dxa"/>
            <w:shd w:val="clear" w:color="auto" w:fill="auto"/>
          </w:tcPr>
          <w:p w:rsidR="002D5483" w:rsidRDefault="002D5483" w:rsidP="00254ACB">
            <w:pPr>
              <w:jc w:val="center"/>
            </w:pPr>
            <w:r>
              <w:t>12,1</w:t>
            </w:r>
          </w:p>
        </w:tc>
        <w:tc>
          <w:tcPr>
            <w:tcW w:w="1452" w:type="dxa"/>
            <w:shd w:val="clear" w:color="auto" w:fill="auto"/>
          </w:tcPr>
          <w:p w:rsidR="002D5483" w:rsidRDefault="002D5483" w:rsidP="00254ACB">
            <w:pPr>
              <w:jc w:val="center"/>
            </w:pPr>
            <w:r>
              <w:t>-</w:t>
            </w:r>
          </w:p>
        </w:tc>
        <w:tc>
          <w:tcPr>
            <w:tcW w:w="1554" w:type="dxa"/>
            <w:shd w:val="clear" w:color="auto" w:fill="auto"/>
          </w:tcPr>
          <w:p w:rsidR="002D5483" w:rsidRDefault="00EE082A" w:rsidP="00254ACB">
            <w:pPr>
              <w:jc w:val="center"/>
            </w:pPr>
            <w:r>
              <w:t>15,0</w:t>
            </w:r>
          </w:p>
        </w:tc>
        <w:tc>
          <w:tcPr>
            <w:tcW w:w="6875" w:type="dxa"/>
            <w:shd w:val="clear" w:color="auto" w:fill="auto"/>
          </w:tcPr>
          <w:p w:rsidR="002D5483" w:rsidRDefault="00EE082A" w:rsidP="00EE082A">
            <w:pPr>
              <w:jc w:val="both"/>
            </w:pPr>
            <w:r>
              <w:t xml:space="preserve">Poreikis kol kas preliminarus, nes dar trūksta </w:t>
            </w:r>
            <w:r w:rsidR="00254ACB">
              <w:t xml:space="preserve"> </w:t>
            </w:r>
            <w:r>
              <w:t>kai kurių duomenų.</w:t>
            </w:r>
          </w:p>
        </w:tc>
      </w:tr>
      <w:tr w:rsidR="00254ACB" w:rsidTr="00254ACB">
        <w:tc>
          <w:tcPr>
            <w:tcW w:w="1643" w:type="dxa"/>
            <w:shd w:val="clear" w:color="auto" w:fill="auto"/>
          </w:tcPr>
          <w:p w:rsidR="002D5483" w:rsidRDefault="002D5483" w:rsidP="00254ACB">
            <w:pPr>
              <w:jc w:val="center"/>
            </w:pPr>
            <w:r>
              <w:t>Transportas</w:t>
            </w:r>
          </w:p>
        </w:tc>
        <w:tc>
          <w:tcPr>
            <w:tcW w:w="1495" w:type="dxa"/>
            <w:shd w:val="clear" w:color="auto" w:fill="auto"/>
          </w:tcPr>
          <w:p w:rsidR="002D5483" w:rsidRDefault="002D5483" w:rsidP="00254ACB">
            <w:pPr>
              <w:jc w:val="center"/>
            </w:pPr>
            <w:r>
              <w:t>11,6</w:t>
            </w:r>
          </w:p>
        </w:tc>
        <w:tc>
          <w:tcPr>
            <w:tcW w:w="1690" w:type="dxa"/>
            <w:shd w:val="clear" w:color="auto" w:fill="auto"/>
          </w:tcPr>
          <w:p w:rsidR="002D5483" w:rsidRDefault="002D5483" w:rsidP="00254ACB">
            <w:pPr>
              <w:jc w:val="center"/>
            </w:pPr>
            <w:r>
              <w:t>9,9</w:t>
            </w:r>
          </w:p>
        </w:tc>
        <w:tc>
          <w:tcPr>
            <w:tcW w:w="1452" w:type="dxa"/>
            <w:shd w:val="clear" w:color="auto" w:fill="auto"/>
          </w:tcPr>
          <w:p w:rsidR="002D5483" w:rsidRDefault="002D5483" w:rsidP="00254ACB">
            <w:pPr>
              <w:jc w:val="center"/>
            </w:pPr>
            <w:r>
              <w:t>-</w:t>
            </w:r>
          </w:p>
        </w:tc>
        <w:tc>
          <w:tcPr>
            <w:tcW w:w="1554" w:type="dxa"/>
            <w:shd w:val="clear" w:color="auto" w:fill="auto"/>
          </w:tcPr>
          <w:p w:rsidR="002D5483" w:rsidRDefault="00BB1056" w:rsidP="00254ACB">
            <w:pPr>
              <w:jc w:val="center"/>
            </w:pPr>
            <w:r>
              <w:t>14,1</w:t>
            </w:r>
          </w:p>
        </w:tc>
        <w:tc>
          <w:tcPr>
            <w:tcW w:w="6875" w:type="dxa"/>
            <w:shd w:val="clear" w:color="auto" w:fill="auto"/>
          </w:tcPr>
          <w:p w:rsidR="002D5483" w:rsidRDefault="00BB1056" w:rsidP="00254ACB">
            <w:pPr>
              <w:jc w:val="both"/>
            </w:pPr>
            <w:r>
              <w:t xml:space="preserve">Išlaidos dviejų automobilių ir priekabėlės išlaikymui: kuro, </w:t>
            </w:r>
            <w:r w:rsidR="004B1984">
              <w:t xml:space="preserve">remonto, </w:t>
            </w:r>
            <w:r>
              <w:t>draudimo, nuomos, sekimo įrangos</w:t>
            </w:r>
            <w:r w:rsidR="004B1984">
              <w:t>, tepalų</w:t>
            </w:r>
            <w:r w:rsidR="00254ACB">
              <w:t xml:space="preserve"> ir </w:t>
            </w:r>
            <w:proofErr w:type="spellStart"/>
            <w:r w:rsidR="00254ACB">
              <w:t>panšios</w:t>
            </w:r>
            <w:proofErr w:type="spellEnd"/>
            <w:r w:rsidR="004B1984">
              <w:t xml:space="preserve"> išlaidos.</w:t>
            </w:r>
          </w:p>
          <w:p w:rsidR="00254ACB" w:rsidRPr="00254ACB" w:rsidRDefault="004B1984" w:rsidP="00254ACB">
            <w:pPr>
              <w:jc w:val="both"/>
              <w:rPr>
                <w:b/>
              </w:rPr>
            </w:pPr>
            <w:r w:rsidRPr="00254ACB">
              <w:rPr>
                <w:b/>
                <w:u w:val="single"/>
              </w:rPr>
              <w:t>Pastaba ir poreikis</w:t>
            </w:r>
            <w:r w:rsidRPr="00254ACB">
              <w:rPr>
                <w:b/>
              </w:rPr>
              <w:t xml:space="preserve">: Išlaidos bus reikalingos ir planuojamos didesnės, nes  2024 metų pavasarį baigiasi turimų automobilių nuomos terminas. Bus reikalinga sudaryti naujas nuomos sutartis, kurių kaina tikėtina bus didesnė preliminariai 200 </w:t>
            </w:r>
            <w:proofErr w:type="spellStart"/>
            <w:r w:rsidRPr="00254ACB">
              <w:rPr>
                <w:b/>
              </w:rPr>
              <w:t>Eur</w:t>
            </w:r>
            <w:proofErr w:type="spellEnd"/>
            <w:r w:rsidRPr="00254ACB">
              <w:rPr>
                <w:b/>
              </w:rPr>
              <w:t xml:space="preserve">./mėn. Todėl poreikis planuojamas 2,5 tūkst. </w:t>
            </w:r>
            <w:r w:rsidR="00EE082A">
              <w:rPr>
                <w:b/>
              </w:rPr>
              <w:t>d</w:t>
            </w:r>
            <w:r w:rsidRPr="00254ACB">
              <w:rPr>
                <w:b/>
              </w:rPr>
              <w:t xml:space="preserve">idesnis. </w:t>
            </w:r>
          </w:p>
          <w:p w:rsidR="004B1984" w:rsidRDefault="004B1984" w:rsidP="00254ACB">
            <w:pPr>
              <w:jc w:val="both"/>
              <w:rPr>
                <w:b/>
              </w:rPr>
            </w:pPr>
            <w:r w:rsidRPr="00254ACB">
              <w:rPr>
                <w:b/>
              </w:rPr>
              <w:t xml:space="preserve">Dar kitais </w:t>
            </w:r>
            <w:r w:rsidR="00254ACB" w:rsidRPr="00254ACB">
              <w:rPr>
                <w:b/>
              </w:rPr>
              <w:t xml:space="preserve">2025 </w:t>
            </w:r>
            <w:r w:rsidRPr="00254ACB">
              <w:rPr>
                <w:b/>
              </w:rPr>
              <w:t>metais būtų tikslinga planuoti lėšas antro automobilio, kuriuo naudojasi darbi</w:t>
            </w:r>
            <w:r w:rsidR="00254ACB" w:rsidRPr="00254ACB">
              <w:rPr>
                <w:b/>
              </w:rPr>
              <w:t>ninkai įsigijimui, nes dabartinis automobilis 2007 metų gamybos, jo remontui kas metais vis didės išlaidos, todėl būtų netikslinga remontui skirti didesnes pinigų sumas.</w:t>
            </w:r>
          </w:p>
          <w:p w:rsidR="00EE082A" w:rsidRPr="00EE082A" w:rsidRDefault="00EE082A" w:rsidP="00254ACB">
            <w:pPr>
              <w:jc w:val="both"/>
              <w:rPr>
                <w:b/>
                <w:lang w:val="en-US"/>
              </w:rPr>
            </w:pPr>
          </w:p>
        </w:tc>
      </w:tr>
      <w:tr w:rsidR="00254ACB" w:rsidTr="00254ACB">
        <w:tc>
          <w:tcPr>
            <w:tcW w:w="1643" w:type="dxa"/>
            <w:shd w:val="clear" w:color="auto" w:fill="auto"/>
          </w:tcPr>
          <w:p w:rsidR="002D5483" w:rsidRDefault="002D5483" w:rsidP="00254ACB">
            <w:pPr>
              <w:jc w:val="center"/>
            </w:pPr>
            <w:r>
              <w:t>Ryšiai</w:t>
            </w:r>
          </w:p>
        </w:tc>
        <w:tc>
          <w:tcPr>
            <w:tcW w:w="1495" w:type="dxa"/>
            <w:shd w:val="clear" w:color="auto" w:fill="auto"/>
          </w:tcPr>
          <w:p w:rsidR="002D5483" w:rsidRDefault="002D5483" w:rsidP="00254ACB">
            <w:pPr>
              <w:jc w:val="center"/>
            </w:pPr>
            <w:r>
              <w:t>0,2</w:t>
            </w:r>
          </w:p>
        </w:tc>
        <w:tc>
          <w:tcPr>
            <w:tcW w:w="1690" w:type="dxa"/>
            <w:shd w:val="clear" w:color="auto" w:fill="auto"/>
          </w:tcPr>
          <w:p w:rsidR="002D5483" w:rsidRDefault="002D5483" w:rsidP="00254ACB">
            <w:pPr>
              <w:jc w:val="center"/>
            </w:pPr>
            <w:r>
              <w:t>0,2</w:t>
            </w:r>
          </w:p>
        </w:tc>
        <w:tc>
          <w:tcPr>
            <w:tcW w:w="1452" w:type="dxa"/>
            <w:shd w:val="clear" w:color="auto" w:fill="auto"/>
          </w:tcPr>
          <w:p w:rsidR="002D5483" w:rsidRDefault="002D5483" w:rsidP="00254ACB">
            <w:pPr>
              <w:jc w:val="center"/>
            </w:pPr>
            <w:r>
              <w:t>-</w:t>
            </w:r>
          </w:p>
        </w:tc>
        <w:tc>
          <w:tcPr>
            <w:tcW w:w="1554" w:type="dxa"/>
            <w:shd w:val="clear" w:color="auto" w:fill="auto"/>
          </w:tcPr>
          <w:p w:rsidR="002D5483" w:rsidRDefault="004B1984" w:rsidP="00254ACB">
            <w:pPr>
              <w:jc w:val="center"/>
            </w:pPr>
            <w:r>
              <w:t>0,2</w:t>
            </w:r>
          </w:p>
          <w:p w:rsidR="00EE082A" w:rsidRDefault="00EE082A" w:rsidP="00254ACB">
            <w:pPr>
              <w:jc w:val="center"/>
            </w:pPr>
          </w:p>
        </w:tc>
        <w:tc>
          <w:tcPr>
            <w:tcW w:w="6875" w:type="dxa"/>
            <w:shd w:val="clear" w:color="auto" w:fill="auto"/>
          </w:tcPr>
          <w:p w:rsidR="002D5483" w:rsidRDefault="002D5483" w:rsidP="00254ACB">
            <w:pPr>
              <w:jc w:val="both"/>
            </w:pPr>
          </w:p>
        </w:tc>
      </w:tr>
      <w:tr w:rsidR="00254ACB" w:rsidTr="00254ACB">
        <w:tc>
          <w:tcPr>
            <w:tcW w:w="1643" w:type="dxa"/>
            <w:shd w:val="clear" w:color="auto" w:fill="auto"/>
          </w:tcPr>
          <w:p w:rsidR="002D5483" w:rsidRDefault="002D5483" w:rsidP="00254ACB">
            <w:pPr>
              <w:jc w:val="center"/>
            </w:pPr>
            <w:r>
              <w:t>Kitos</w:t>
            </w:r>
            <w:r w:rsidR="00C4235A">
              <w:t xml:space="preserve"> savarankiškos f-jos</w:t>
            </w:r>
            <w:r>
              <w:t>: prekės, paslaugos</w:t>
            </w:r>
            <w:r w:rsidR="00C4235A">
              <w:t>, kvalifikacija, komandiruotės</w:t>
            </w:r>
            <w:r>
              <w:t xml:space="preserve"> </w:t>
            </w:r>
            <w:r w:rsidR="00C4235A">
              <w:t>ir t.t.</w:t>
            </w:r>
          </w:p>
        </w:tc>
        <w:tc>
          <w:tcPr>
            <w:tcW w:w="1495" w:type="dxa"/>
            <w:shd w:val="clear" w:color="auto" w:fill="auto"/>
          </w:tcPr>
          <w:p w:rsidR="002D5483" w:rsidRDefault="002D5483" w:rsidP="00254ACB">
            <w:pPr>
              <w:jc w:val="center"/>
            </w:pPr>
            <w:r>
              <w:t>16,1</w:t>
            </w:r>
          </w:p>
        </w:tc>
        <w:tc>
          <w:tcPr>
            <w:tcW w:w="1690" w:type="dxa"/>
            <w:shd w:val="clear" w:color="auto" w:fill="auto"/>
          </w:tcPr>
          <w:p w:rsidR="002D5483" w:rsidRDefault="002D5483" w:rsidP="00254ACB">
            <w:pPr>
              <w:jc w:val="center"/>
            </w:pPr>
            <w:r>
              <w:t>9,</w:t>
            </w:r>
            <w:r w:rsidR="00C4235A">
              <w:t>5</w:t>
            </w:r>
          </w:p>
        </w:tc>
        <w:tc>
          <w:tcPr>
            <w:tcW w:w="1452" w:type="dxa"/>
            <w:shd w:val="clear" w:color="auto" w:fill="auto"/>
          </w:tcPr>
          <w:p w:rsidR="002D5483" w:rsidRDefault="00BB1056" w:rsidP="00254ACB">
            <w:pPr>
              <w:jc w:val="center"/>
            </w:pPr>
            <w:r>
              <w:t>-</w:t>
            </w:r>
          </w:p>
        </w:tc>
        <w:tc>
          <w:tcPr>
            <w:tcW w:w="1554" w:type="dxa"/>
            <w:shd w:val="clear" w:color="auto" w:fill="auto"/>
          </w:tcPr>
          <w:p w:rsidR="002D5483" w:rsidRDefault="00254ACB" w:rsidP="00254ACB">
            <w:pPr>
              <w:jc w:val="center"/>
            </w:pPr>
            <w:r>
              <w:t>20,0</w:t>
            </w:r>
          </w:p>
        </w:tc>
        <w:tc>
          <w:tcPr>
            <w:tcW w:w="6875" w:type="dxa"/>
            <w:shd w:val="clear" w:color="auto" w:fill="auto"/>
          </w:tcPr>
          <w:p w:rsidR="00254ACB" w:rsidRDefault="004B1984" w:rsidP="00254ACB">
            <w:pPr>
              <w:jc w:val="both"/>
            </w:pPr>
            <w:r>
              <w:t xml:space="preserve">Išlaidos didės, nes dabartiniu metu sudarinėjamos pastato (Telšių g.3, Alsėdžių mstl., kur savo veiklą vykdo seniūnija, kultūros centras) įvairios priežiūros sutartys: stebėjimo ir reagavimo, pastato techninės priežiūros, liftų priežiūros ir patikros, ir pan., be jau sudarytų ir </w:t>
            </w:r>
            <w:r w:rsidR="00254ACB">
              <w:t>turimų sutarčių: šildymo ir vėdinimo sistemos priežiūros, elektros įrenginių priežiūros, priešgaisrinės ir saugos signalizacijos priežiūros. Pagal tarybos sprendimą seniūnija apmoka visas pastato ūkines išlaidas, kultūros centrui išlaidos komunaliniams ir ūkiniams reikalams neskiriamos.</w:t>
            </w:r>
          </w:p>
          <w:p w:rsidR="002D5483" w:rsidRPr="00254ACB" w:rsidRDefault="00254ACB" w:rsidP="00861344">
            <w:pPr>
              <w:jc w:val="both"/>
              <w:rPr>
                <w:b/>
              </w:rPr>
            </w:pPr>
            <w:r w:rsidRPr="00254ACB">
              <w:rPr>
                <w:b/>
              </w:rPr>
              <w:t>Dar reikalinga įrengti stebėjimo kameras, kurių įrengimas kainuotų apie  4,0 tūkst. eurų.</w:t>
            </w:r>
            <w:r w:rsidR="004B1984" w:rsidRPr="00254ACB">
              <w:rPr>
                <w:b/>
              </w:rPr>
              <w:t xml:space="preserve"> </w:t>
            </w:r>
          </w:p>
        </w:tc>
      </w:tr>
      <w:tr w:rsidR="00254ACB" w:rsidTr="00254ACB">
        <w:tc>
          <w:tcPr>
            <w:tcW w:w="1643" w:type="dxa"/>
            <w:shd w:val="clear" w:color="auto" w:fill="auto"/>
          </w:tcPr>
          <w:p w:rsidR="002D5483" w:rsidRPr="00254ACB" w:rsidRDefault="002D5483" w:rsidP="00254ACB">
            <w:pPr>
              <w:jc w:val="center"/>
              <w:rPr>
                <w:b/>
                <w:i/>
              </w:rPr>
            </w:pPr>
            <w:r w:rsidRPr="00254ACB">
              <w:rPr>
                <w:b/>
                <w:i/>
              </w:rPr>
              <w:t>Viso valdymas</w:t>
            </w:r>
          </w:p>
        </w:tc>
        <w:tc>
          <w:tcPr>
            <w:tcW w:w="1495" w:type="dxa"/>
            <w:shd w:val="clear" w:color="auto" w:fill="auto"/>
          </w:tcPr>
          <w:p w:rsidR="002D5483" w:rsidRPr="00254ACB" w:rsidRDefault="00C4235A" w:rsidP="00254ACB">
            <w:pPr>
              <w:jc w:val="center"/>
              <w:rPr>
                <w:b/>
                <w:i/>
              </w:rPr>
            </w:pPr>
            <w:r w:rsidRPr="00254ACB">
              <w:rPr>
                <w:b/>
                <w:i/>
              </w:rPr>
              <w:t>41,60</w:t>
            </w:r>
          </w:p>
        </w:tc>
        <w:tc>
          <w:tcPr>
            <w:tcW w:w="1690" w:type="dxa"/>
            <w:shd w:val="clear" w:color="auto" w:fill="auto"/>
          </w:tcPr>
          <w:p w:rsidR="002D5483" w:rsidRPr="00254ACB" w:rsidRDefault="00C4235A" w:rsidP="00254ACB">
            <w:pPr>
              <w:jc w:val="center"/>
              <w:rPr>
                <w:b/>
                <w:i/>
              </w:rPr>
            </w:pPr>
            <w:r w:rsidRPr="00254ACB">
              <w:rPr>
                <w:b/>
                <w:i/>
              </w:rPr>
              <w:t>31,7</w:t>
            </w:r>
          </w:p>
        </w:tc>
        <w:tc>
          <w:tcPr>
            <w:tcW w:w="1452" w:type="dxa"/>
            <w:shd w:val="clear" w:color="auto" w:fill="auto"/>
          </w:tcPr>
          <w:p w:rsidR="002D5483" w:rsidRPr="00254ACB" w:rsidRDefault="00BB1056" w:rsidP="00254ACB">
            <w:pPr>
              <w:jc w:val="center"/>
              <w:rPr>
                <w:b/>
                <w:i/>
              </w:rPr>
            </w:pPr>
            <w:r w:rsidRPr="00254ACB">
              <w:rPr>
                <w:b/>
                <w:i/>
              </w:rPr>
              <w:t>-</w:t>
            </w:r>
          </w:p>
        </w:tc>
        <w:tc>
          <w:tcPr>
            <w:tcW w:w="1554" w:type="dxa"/>
            <w:shd w:val="clear" w:color="auto" w:fill="auto"/>
          </w:tcPr>
          <w:p w:rsidR="002D5483" w:rsidRPr="00254ACB" w:rsidRDefault="00EE082A" w:rsidP="00254ACB">
            <w:pPr>
              <w:jc w:val="center"/>
              <w:rPr>
                <w:b/>
                <w:i/>
              </w:rPr>
            </w:pPr>
            <w:r>
              <w:rPr>
                <w:b/>
                <w:i/>
              </w:rPr>
              <w:t>49,3</w:t>
            </w:r>
          </w:p>
        </w:tc>
        <w:tc>
          <w:tcPr>
            <w:tcW w:w="6875" w:type="dxa"/>
            <w:shd w:val="clear" w:color="auto" w:fill="auto"/>
          </w:tcPr>
          <w:p w:rsidR="002D5483" w:rsidRPr="00254ACB" w:rsidRDefault="002D5483" w:rsidP="00254ACB">
            <w:pPr>
              <w:jc w:val="both"/>
              <w:rPr>
                <w:b/>
                <w:i/>
              </w:rPr>
            </w:pPr>
          </w:p>
        </w:tc>
      </w:tr>
      <w:tr w:rsidR="00254ACB" w:rsidTr="00254ACB">
        <w:tc>
          <w:tcPr>
            <w:tcW w:w="1643" w:type="dxa"/>
            <w:shd w:val="clear" w:color="auto" w:fill="auto"/>
          </w:tcPr>
          <w:p w:rsidR="00C4235A" w:rsidRPr="00254ACB" w:rsidRDefault="00C4235A" w:rsidP="00254ACB">
            <w:pPr>
              <w:jc w:val="center"/>
              <w:rPr>
                <w:b/>
              </w:rPr>
            </w:pPr>
            <w:r w:rsidRPr="00254ACB">
              <w:rPr>
                <w:b/>
                <w:i/>
                <w:u w:val="single"/>
              </w:rPr>
              <w:t>Komunalinis ūkis</w:t>
            </w:r>
            <w:r w:rsidRPr="00254ACB">
              <w:rPr>
                <w:b/>
              </w:rPr>
              <w:t>:</w:t>
            </w:r>
          </w:p>
        </w:tc>
        <w:tc>
          <w:tcPr>
            <w:tcW w:w="1495" w:type="dxa"/>
            <w:shd w:val="clear" w:color="auto" w:fill="auto"/>
          </w:tcPr>
          <w:p w:rsidR="00C4235A" w:rsidRDefault="00C4235A" w:rsidP="00254ACB">
            <w:pPr>
              <w:jc w:val="center"/>
            </w:pPr>
          </w:p>
        </w:tc>
        <w:tc>
          <w:tcPr>
            <w:tcW w:w="1690" w:type="dxa"/>
            <w:shd w:val="clear" w:color="auto" w:fill="auto"/>
          </w:tcPr>
          <w:p w:rsidR="00C4235A" w:rsidRDefault="00C4235A" w:rsidP="00254ACB">
            <w:pPr>
              <w:jc w:val="center"/>
            </w:pPr>
          </w:p>
        </w:tc>
        <w:tc>
          <w:tcPr>
            <w:tcW w:w="1452" w:type="dxa"/>
            <w:shd w:val="clear" w:color="auto" w:fill="auto"/>
          </w:tcPr>
          <w:p w:rsidR="00C4235A" w:rsidRDefault="00C4235A" w:rsidP="00254ACB">
            <w:pPr>
              <w:jc w:val="center"/>
            </w:pPr>
          </w:p>
        </w:tc>
        <w:tc>
          <w:tcPr>
            <w:tcW w:w="1554" w:type="dxa"/>
            <w:shd w:val="clear" w:color="auto" w:fill="auto"/>
          </w:tcPr>
          <w:p w:rsidR="00C4235A" w:rsidRDefault="00C4235A" w:rsidP="00254ACB">
            <w:pPr>
              <w:jc w:val="center"/>
            </w:pPr>
          </w:p>
        </w:tc>
        <w:tc>
          <w:tcPr>
            <w:tcW w:w="6875" w:type="dxa"/>
            <w:shd w:val="clear" w:color="auto" w:fill="auto"/>
          </w:tcPr>
          <w:p w:rsidR="00C4235A" w:rsidRDefault="00C4235A" w:rsidP="00254ACB">
            <w:pPr>
              <w:jc w:val="both"/>
            </w:pPr>
          </w:p>
        </w:tc>
      </w:tr>
      <w:tr w:rsidR="00254ACB" w:rsidTr="00254ACB">
        <w:tc>
          <w:tcPr>
            <w:tcW w:w="1643" w:type="dxa"/>
            <w:shd w:val="clear" w:color="auto" w:fill="auto"/>
          </w:tcPr>
          <w:p w:rsidR="00C4235A" w:rsidRDefault="00C4235A" w:rsidP="00254ACB">
            <w:pPr>
              <w:jc w:val="center"/>
            </w:pPr>
            <w:r>
              <w:t>Išlaidos komunalinėms reikmėms</w:t>
            </w:r>
          </w:p>
        </w:tc>
        <w:tc>
          <w:tcPr>
            <w:tcW w:w="1495" w:type="dxa"/>
            <w:shd w:val="clear" w:color="auto" w:fill="auto"/>
          </w:tcPr>
          <w:p w:rsidR="00C4235A" w:rsidRDefault="00C4235A" w:rsidP="00254ACB">
            <w:pPr>
              <w:jc w:val="center"/>
            </w:pPr>
            <w:r>
              <w:t>6,00</w:t>
            </w:r>
          </w:p>
        </w:tc>
        <w:tc>
          <w:tcPr>
            <w:tcW w:w="1690" w:type="dxa"/>
            <w:shd w:val="clear" w:color="auto" w:fill="auto"/>
          </w:tcPr>
          <w:p w:rsidR="00C4235A" w:rsidRDefault="00E064C2" w:rsidP="00254ACB">
            <w:pPr>
              <w:jc w:val="center"/>
            </w:pPr>
            <w:r>
              <w:t>5,0</w:t>
            </w:r>
          </w:p>
        </w:tc>
        <w:tc>
          <w:tcPr>
            <w:tcW w:w="1452" w:type="dxa"/>
            <w:shd w:val="clear" w:color="auto" w:fill="auto"/>
          </w:tcPr>
          <w:p w:rsidR="00C4235A" w:rsidRDefault="00BB1056" w:rsidP="00254ACB">
            <w:pPr>
              <w:jc w:val="center"/>
            </w:pPr>
            <w:r>
              <w:t>-</w:t>
            </w:r>
          </w:p>
        </w:tc>
        <w:tc>
          <w:tcPr>
            <w:tcW w:w="1554" w:type="dxa"/>
            <w:shd w:val="clear" w:color="auto" w:fill="auto"/>
          </w:tcPr>
          <w:p w:rsidR="00C4235A" w:rsidRDefault="00EE082A" w:rsidP="00254ACB">
            <w:pPr>
              <w:jc w:val="center"/>
            </w:pPr>
            <w:r>
              <w:t>7,0</w:t>
            </w:r>
          </w:p>
        </w:tc>
        <w:tc>
          <w:tcPr>
            <w:tcW w:w="6875" w:type="dxa"/>
            <w:shd w:val="clear" w:color="auto" w:fill="auto"/>
          </w:tcPr>
          <w:p w:rsidR="00C4235A" w:rsidRDefault="00EE082A" w:rsidP="00EE082A">
            <w:pPr>
              <w:jc w:val="both"/>
            </w:pPr>
            <w:r>
              <w:t>Planuojama suma didesnė, nes siekiama, kad gatvių apšvietimo laikas būtų ilgesnis, nei pastaraisiais metais.</w:t>
            </w:r>
          </w:p>
        </w:tc>
      </w:tr>
      <w:tr w:rsidR="00254ACB" w:rsidTr="00254ACB">
        <w:tc>
          <w:tcPr>
            <w:tcW w:w="1643" w:type="dxa"/>
            <w:shd w:val="clear" w:color="auto" w:fill="auto"/>
          </w:tcPr>
          <w:p w:rsidR="00E064C2" w:rsidRDefault="00E064C2" w:rsidP="00254ACB">
            <w:pPr>
              <w:jc w:val="center"/>
            </w:pPr>
            <w:r>
              <w:t>Gyvenamųjų vietovių viešo ūkio išlaidos</w:t>
            </w:r>
          </w:p>
        </w:tc>
        <w:tc>
          <w:tcPr>
            <w:tcW w:w="1495" w:type="dxa"/>
            <w:shd w:val="clear" w:color="auto" w:fill="auto"/>
          </w:tcPr>
          <w:p w:rsidR="00E064C2" w:rsidRDefault="00E064C2" w:rsidP="00254ACB">
            <w:pPr>
              <w:jc w:val="center"/>
            </w:pPr>
            <w:r>
              <w:t>17,4</w:t>
            </w:r>
          </w:p>
        </w:tc>
        <w:tc>
          <w:tcPr>
            <w:tcW w:w="1690" w:type="dxa"/>
            <w:shd w:val="clear" w:color="auto" w:fill="auto"/>
          </w:tcPr>
          <w:p w:rsidR="00E064C2" w:rsidRDefault="00E064C2" w:rsidP="00254ACB">
            <w:pPr>
              <w:jc w:val="center"/>
            </w:pPr>
            <w:r>
              <w:t>14,3</w:t>
            </w:r>
          </w:p>
          <w:p w:rsidR="00FA3BA5" w:rsidRDefault="00FA3BA5" w:rsidP="00254ACB">
            <w:pPr>
              <w:jc w:val="center"/>
            </w:pPr>
            <w:r>
              <w:t>-11,8 iškelta sezoninių darbininkų atlyginimams, liko 2,5</w:t>
            </w:r>
          </w:p>
        </w:tc>
        <w:tc>
          <w:tcPr>
            <w:tcW w:w="1452" w:type="dxa"/>
            <w:shd w:val="clear" w:color="auto" w:fill="auto"/>
          </w:tcPr>
          <w:p w:rsidR="00E064C2" w:rsidRDefault="00BB1056" w:rsidP="00254ACB">
            <w:pPr>
              <w:jc w:val="center"/>
            </w:pPr>
            <w:r>
              <w:t>-</w:t>
            </w:r>
          </w:p>
        </w:tc>
        <w:tc>
          <w:tcPr>
            <w:tcW w:w="1554" w:type="dxa"/>
            <w:shd w:val="clear" w:color="auto" w:fill="auto"/>
          </w:tcPr>
          <w:p w:rsidR="00E064C2" w:rsidRDefault="00FC1680" w:rsidP="00254ACB">
            <w:pPr>
              <w:jc w:val="center"/>
            </w:pPr>
            <w:r>
              <w:t>24,00</w:t>
            </w:r>
          </w:p>
        </w:tc>
        <w:tc>
          <w:tcPr>
            <w:tcW w:w="6875" w:type="dxa"/>
            <w:shd w:val="clear" w:color="auto" w:fill="auto"/>
          </w:tcPr>
          <w:p w:rsidR="00E064C2" w:rsidRDefault="00EE082A" w:rsidP="00EE082A">
            <w:pPr>
              <w:jc w:val="both"/>
            </w:pPr>
            <w:r>
              <w:t xml:space="preserve">2023 metais, iš šio straipsnio prekėms </w:t>
            </w:r>
            <w:r w:rsidR="00857F0E">
              <w:t xml:space="preserve">(atsarginėms dalims, įrankių/įrenginių remontui, kurui, tepalams) </w:t>
            </w:r>
            <w:r>
              <w:t xml:space="preserve">buvo palikta 2,5 tūkst., o 11,8 tūkst. buvo iškelta sezoninių darbuotojų atlyginimams. Už tą sumą buvo įdarbinti </w:t>
            </w:r>
            <w:r w:rsidR="00FC1680">
              <w:t xml:space="preserve">tik </w:t>
            </w:r>
            <w:r>
              <w:t>2 darbuotojai</w:t>
            </w:r>
            <w:r w:rsidR="00A33D8B">
              <w:t xml:space="preserve"> 6,3 mėn. laikotarpiui.</w:t>
            </w:r>
          </w:p>
          <w:p w:rsidR="00FC1680" w:rsidRPr="00A33D8B" w:rsidRDefault="00A33D8B" w:rsidP="00861344">
            <w:pPr>
              <w:jc w:val="both"/>
            </w:pPr>
            <w:r w:rsidRPr="00A33D8B">
              <w:rPr>
                <w:b/>
                <w:u w:val="single"/>
              </w:rPr>
              <w:t>Poreikis</w:t>
            </w:r>
            <w:r>
              <w:rPr>
                <w:b/>
                <w:u w:val="single"/>
              </w:rPr>
              <w:t xml:space="preserve"> </w:t>
            </w:r>
            <w:r w:rsidRPr="00A33D8B">
              <w:rPr>
                <w:b/>
              </w:rPr>
              <w:t>sezoniniams darbininkams yra didesnis, nes su turimais darbininkais negalėjome atlikti visų numatytų funkcijų. Praktiškai buvo gerai tvarkomas tik miestelis ir turimos viešosios erdvės, o pakelių šienavimas buvo atliktas tik prioritetinėse vietose, kit</w:t>
            </w:r>
            <w:r>
              <w:rPr>
                <w:b/>
              </w:rPr>
              <w:t>ur</w:t>
            </w:r>
            <w:r w:rsidRPr="00A33D8B">
              <w:rPr>
                <w:b/>
              </w:rPr>
              <w:t xml:space="preserve"> liko nešienautos.</w:t>
            </w:r>
            <w:r>
              <w:t xml:space="preserve"> </w:t>
            </w:r>
            <w:r w:rsidRPr="00A33D8B">
              <w:rPr>
                <w:b/>
              </w:rPr>
              <w:t xml:space="preserve">Dar viena negera situacija </w:t>
            </w:r>
            <w:r w:rsidR="00FC1680">
              <w:rPr>
                <w:b/>
              </w:rPr>
              <w:t xml:space="preserve">dėl mažo finansavimo </w:t>
            </w:r>
            <w:r w:rsidRPr="00A33D8B">
              <w:rPr>
                <w:b/>
              </w:rPr>
              <w:t>yra ta, kad sezoninius darbininkus galime turėti tik  šešis su trupučiu mėnesius, o ki</w:t>
            </w:r>
            <w:r>
              <w:rPr>
                <w:b/>
              </w:rPr>
              <w:t xml:space="preserve">tu laiku jų nėra. </w:t>
            </w:r>
            <w:r w:rsidR="00FC1680">
              <w:rPr>
                <w:b/>
              </w:rPr>
              <w:t>D</w:t>
            </w:r>
            <w:r>
              <w:rPr>
                <w:b/>
              </w:rPr>
              <w:t xml:space="preserve">arbo jėgos trūksta </w:t>
            </w:r>
            <w:r w:rsidR="00FC1680">
              <w:rPr>
                <w:b/>
              </w:rPr>
              <w:t>ir žiemos laikotarpiu, kai reikalinga nukasti sniegą nuo šaligatvių, barstyti dėl slidumo. Todėl būtina planuoti didesnes išlaidas sezoniniams darbininkams, arba ieškoti būdų turėti daugiau etatinių darbininkų. Dar būtina įvertinti tą faktą, kad minimalus darbo užmokestis didėja, tad ir lėšų tam reikalui būtina planuoti daugiau.</w:t>
            </w:r>
          </w:p>
        </w:tc>
      </w:tr>
      <w:tr w:rsidR="00254ACB" w:rsidTr="00254ACB">
        <w:tc>
          <w:tcPr>
            <w:tcW w:w="1643" w:type="dxa"/>
            <w:shd w:val="clear" w:color="auto" w:fill="auto"/>
          </w:tcPr>
          <w:p w:rsidR="00C4235A" w:rsidRDefault="00C4235A" w:rsidP="00254ACB">
            <w:pPr>
              <w:jc w:val="center"/>
            </w:pPr>
            <w:r>
              <w:t>Kitos savarankiškos f-jos: prekės, paslaugos ir t.t.</w:t>
            </w:r>
          </w:p>
        </w:tc>
        <w:tc>
          <w:tcPr>
            <w:tcW w:w="1495" w:type="dxa"/>
            <w:shd w:val="clear" w:color="auto" w:fill="auto"/>
          </w:tcPr>
          <w:p w:rsidR="00C4235A" w:rsidRDefault="00FA3BA5" w:rsidP="00254ACB">
            <w:pPr>
              <w:jc w:val="center"/>
            </w:pPr>
            <w:r>
              <w:t>61,6</w:t>
            </w:r>
          </w:p>
        </w:tc>
        <w:tc>
          <w:tcPr>
            <w:tcW w:w="1690" w:type="dxa"/>
            <w:shd w:val="clear" w:color="auto" w:fill="auto"/>
          </w:tcPr>
          <w:p w:rsidR="00C4235A" w:rsidRDefault="00E064C2" w:rsidP="00254ACB">
            <w:pPr>
              <w:jc w:val="center"/>
            </w:pPr>
            <w:r>
              <w:t>9,2</w:t>
            </w:r>
          </w:p>
        </w:tc>
        <w:tc>
          <w:tcPr>
            <w:tcW w:w="1452" w:type="dxa"/>
            <w:shd w:val="clear" w:color="auto" w:fill="auto"/>
          </w:tcPr>
          <w:p w:rsidR="00C4235A" w:rsidRDefault="00BB1056" w:rsidP="00254ACB">
            <w:pPr>
              <w:jc w:val="center"/>
            </w:pPr>
            <w:r>
              <w:t>2,7 (</w:t>
            </w:r>
            <w:r w:rsidR="00EE082A">
              <w:t xml:space="preserve">II </w:t>
            </w:r>
            <w:proofErr w:type="spellStart"/>
            <w:r w:rsidR="00EE082A">
              <w:t>ketv</w:t>
            </w:r>
            <w:proofErr w:type="spellEnd"/>
            <w:r w:rsidR="00EE082A">
              <w:t xml:space="preserve">. </w:t>
            </w:r>
            <w:r>
              <w:t>pastato sienos remontui);</w:t>
            </w:r>
          </w:p>
          <w:p w:rsidR="00BB1056" w:rsidRDefault="00BB1056" w:rsidP="00254ACB">
            <w:pPr>
              <w:jc w:val="center"/>
            </w:pPr>
            <w:r>
              <w:t>36,4 (</w:t>
            </w:r>
            <w:r w:rsidR="00EE082A">
              <w:t xml:space="preserve">IV </w:t>
            </w:r>
            <w:proofErr w:type="spellStart"/>
            <w:r w:rsidR="00EE082A">
              <w:t>ketv</w:t>
            </w:r>
            <w:proofErr w:type="spellEnd"/>
            <w:r w:rsidR="00EE082A">
              <w:t xml:space="preserve">. </w:t>
            </w:r>
            <w:r>
              <w:t>šaligatvio remontui)</w:t>
            </w:r>
          </w:p>
        </w:tc>
        <w:tc>
          <w:tcPr>
            <w:tcW w:w="1554" w:type="dxa"/>
            <w:shd w:val="clear" w:color="auto" w:fill="auto"/>
          </w:tcPr>
          <w:p w:rsidR="00C4235A" w:rsidRDefault="00585643" w:rsidP="00254ACB">
            <w:pPr>
              <w:jc w:val="center"/>
            </w:pPr>
            <w:r>
              <w:t>134,80</w:t>
            </w:r>
          </w:p>
        </w:tc>
        <w:tc>
          <w:tcPr>
            <w:tcW w:w="6875" w:type="dxa"/>
            <w:shd w:val="clear" w:color="auto" w:fill="auto"/>
          </w:tcPr>
          <w:p w:rsidR="00C4235A" w:rsidRDefault="00FC1680" w:rsidP="00254ACB">
            <w:pPr>
              <w:jc w:val="both"/>
            </w:pPr>
            <w:r>
              <w:t>Planuojama ir prašom</w:t>
            </w:r>
            <w:r w:rsidR="000F560F">
              <w:t>a</w:t>
            </w:r>
            <w:r>
              <w:t xml:space="preserve"> daugiau</w:t>
            </w:r>
            <w:r w:rsidR="00896DAC">
              <w:t xml:space="preserve"> papildomai </w:t>
            </w:r>
            <w:r>
              <w:t>lėšų skirti:</w:t>
            </w:r>
          </w:p>
          <w:p w:rsidR="00585643" w:rsidRDefault="00585643" w:rsidP="00254ACB">
            <w:pPr>
              <w:jc w:val="both"/>
            </w:pPr>
          </w:p>
          <w:p w:rsidR="000F560F" w:rsidRDefault="000F560F" w:rsidP="000F560F">
            <w:pPr>
              <w:pStyle w:val="Debesliotekstas"/>
              <w:numPr>
                <w:ilvl w:val="0"/>
                <w:numId w:val="3"/>
              </w:numPr>
              <w:jc w:val="both"/>
              <w:rPr>
                <w:rFonts w:ascii="Times New Roman" w:hAnsi="Times New Roman"/>
                <w:sz w:val="24"/>
                <w:szCs w:val="24"/>
              </w:rPr>
            </w:pPr>
            <w:r w:rsidRPr="000F560F">
              <w:rPr>
                <w:rFonts w:ascii="Times New Roman" w:hAnsi="Times New Roman" w:cs="Times New Roman"/>
                <w:b/>
                <w:sz w:val="24"/>
                <w:szCs w:val="24"/>
                <w:u w:val="single"/>
              </w:rPr>
              <w:t>Gatvių apšvietimo remontui ir plėtrai</w:t>
            </w:r>
            <w:r>
              <w:t xml:space="preserve"> - </w:t>
            </w:r>
            <w:r w:rsidRPr="000F560F">
              <w:rPr>
                <w:rFonts w:ascii="Times New Roman" w:hAnsi="Times New Roman"/>
                <w:b/>
                <w:sz w:val="24"/>
                <w:szCs w:val="24"/>
              </w:rPr>
              <w:t>Žaliosios gatvės apšvietimui renovuoti – 66,0 tūkst.</w:t>
            </w:r>
            <w:r>
              <w:rPr>
                <w:rFonts w:ascii="Times New Roman" w:hAnsi="Times New Roman"/>
                <w:sz w:val="24"/>
                <w:szCs w:val="24"/>
              </w:rPr>
              <w:t xml:space="preserve"> </w:t>
            </w:r>
            <w:proofErr w:type="spellStart"/>
            <w:r>
              <w:rPr>
                <w:rFonts w:ascii="Times New Roman" w:hAnsi="Times New Roman"/>
                <w:sz w:val="24"/>
                <w:szCs w:val="24"/>
              </w:rPr>
              <w:t>Eur</w:t>
            </w:r>
            <w:proofErr w:type="spellEnd"/>
            <w:r>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rPr>
              <w:t xml:space="preserve">Alsėdžių seniūnija nėra patekusi į kaimiškų gyvenviečių gatvių apšvietimo renovacijos etapą. Seniūnija turi parengusi Plungės rajono Alsėdžių seniūnijos Alsėdžių miestelio </w:t>
            </w:r>
            <w:proofErr w:type="spellStart"/>
            <w:r>
              <w:rPr>
                <w:rFonts w:ascii="Times New Roman" w:hAnsi="Times New Roman"/>
                <w:sz w:val="24"/>
                <w:szCs w:val="24"/>
              </w:rPr>
              <w:t>Sruojos</w:t>
            </w:r>
            <w:proofErr w:type="spellEnd"/>
            <w:r>
              <w:rPr>
                <w:rFonts w:ascii="Times New Roman" w:hAnsi="Times New Roman"/>
                <w:sz w:val="24"/>
                <w:szCs w:val="24"/>
              </w:rPr>
              <w:t>, Žaliosios, Pušyno gatvių su atšakomis, Telšių gatvės atšakų apšvietimo įrengimo techninį darbo projektą.   Viso projekto sąmatinė vertė (2021 metų kainų skaičiavimas) –</w:t>
            </w:r>
            <w:r>
              <w:rPr>
                <w:rFonts w:ascii="Times New Roman" w:hAnsi="Times New Roman"/>
                <w:sz w:val="24"/>
                <w:szCs w:val="24"/>
              </w:rPr>
              <w:t xml:space="preserve"> 295,911 tūkst. </w:t>
            </w:r>
            <w:proofErr w:type="spellStart"/>
            <w:r>
              <w:rPr>
                <w:rFonts w:ascii="Times New Roman" w:hAnsi="Times New Roman"/>
                <w:sz w:val="24"/>
                <w:szCs w:val="24"/>
              </w:rPr>
              <w:t>Eur</w:t>
            </w:r>
            <w:proofErr w:type="spellEnd"/>
            <w:r>
              <w:rPr>
                <w:rFonts w:ascii="Times New Roman" w:hAnsi="Times New Roman"/>
                <w:sz w:val="24"/>
                <w:szCs w:val="24"/>
              </w:rPr>
              <w:t xml:space="preserve">. Būtų gerai </w:t>
            </w:r>
            <w:r w:rsidR="00585643">
              <w:rPr>
                <w:rFonts w:ascii="Times New Roman" w:hAnsi="Times New Roman"/>
                <w:sz w:val="24"/>
                <w:szCs w:val="24"/>
              </w:rPr>
              <w:t xml:space="preserve">renovuoti </w:t>
            </w:r>
            <w:r>
              <w:rPr>
                <w:rFonts w:ascii="Times New Roman" w:hAnsi="Times New Roman"/>
                <w:sz w:val="24"/>
                <w:szCs w:val="24"/>
              </w:rPr>
              <w:t>Žaliosios</w:t>
            </w:r>
            <w:r>
              <w:rPr>
                <w:rFonts w:ascii="Times New Roman" w:hAnsi="Times New Roman"/>
                <w:sz w:val="24"/>
                <w:szCs w:val="24"/>
              </w:rPr>
              <w:t xml:space="preserve"> apšvietimą. </w:t>
            </w:r>
            <w:r w:rsidR="00585643">
              <w:rPr>
                <w:rFonts w:ascii="Times New Roman" w:hAnsi="Times New Roman"/>
                <w:sz w:val="24"/>
                <w:szCs w:val="24"/>
              </w:rPr>
              <w:t xml:space="preserve">ESO pateiktuose projektuose nurodoma, kad 2024 metais planuojami Žaliosios gatvės </w:t>
            </w:r>
            <w:proofErr w:type="spellStart"/>
            <w:r w:rsidR="00585643">
              <w:rPr>
                <w:rFonts w:ascii="Times New Roman" w:hAnsi="Times New Roman"/>
                <w:sz w:val="24"/>
                <w:szCs w:val="24"/>
              </w:rPr>
              <w:t>kabeliavimo</w:t>
            </w:r>
            <w:proofErr w:type="spellEnd"/>
            <w:r w:rsidR="00585643">
              <w:rPr>
                <w:rFonts w:ascii="Times New Roman" w:hAnsi="Times New Roman"/>
                <w:sz w:val="24"/>
                <w:szCs w:val="24"/>
              </w:rPr>
              <w:t xml:space="preserve"> darbai. Šiais metais planuojama baigti sutvarkyti Žaliosios gatvės šaligatvį, o jei pavyktų kitais sutvarkyti apšvietimą, b</w:t>
            </w:r>
            <w:r>
              <w:rPr>
                <w:rFonts w:ascii="Times New Roman" w:hAnsi="Times New Roman"/>
                <w:sz w:val="24"/>
                <w:szCs w:val="24"/>
              </w:rPr>
              <w:t xml:space="preserve">ūtų nors viena gatvė neblogai aptvarkyta. Gatvės apšvietimo renovacijai reikėtų apie 66,0 tūkst. </w:t>
            </w:r>
            <w:proofErr w:type="spellStart"/>
            <w:r>
              <w:rPr>
                <w:rFonts w:ascii="Times New Roman" w:hAnsi="Times New Roman"/>
                <w:sz w:val="24"/>
                <w:szCs w:val="24"/>
              </w:rPr>
              <w:t>Eur</w:t>
            </w:r>
            <w:proofErr w:type="spellEnd"/>
            <w:r>
              <w:rPr>
                <w:rFonts w:ascii="Times New Roman" w:hAnsi="Times New Roman"/>
                <w:sz w:val="24"/>
                <w:szCs w:val="24"/>
              </w:rPr>
              <w:t xml:space="preserve"> (2021 metų kainų skaičiavimas). </w:t>
            </w:r>
          </w:p>
          <w:p w:rsidR="000F560F" w:rsidRDefault="000F560F" w:rsidP="000F560F">
            <w:pPr>
              <w:pStyle w:val="Debesliotekstas"/>
              <w:jc w:val="both"/>
              <w:rPr>
                <w:rFonts w:ascii="Times New Roman" w:hAnsi="Times New Roman"/>
                <w:sz w:val="24"/>
                <w:szCs w:val="24"/>
              </w:rPr>
            </w:pPr>
          </w:p>
          <w:p w:rsidR="00FC1680" w:rsidRDefault="000F560F" w:rsidP="000F560F">
            <w:pPr>
              <w:numPr>
                <w:ilvl w:val="0"/>
                <w:numId w:val="3"/>
              </w:numPr>
              <w:jc w:val="both"/>
            </w:pPr>
            <w:r>
              <w:rPr>
                <w:b/>
                <w:u w:val="single"/>
              </w:rPr>
              <w:t>Vietinės reikšmės kelių ir gatvių priežiūrai ir remontui</w:t>
            </w:r>
            <w:r w:rsidR="005023C5">
              <w:rPr>
                <w:b/>
                <w:u w:val="single"/>
              </w:rPr>
              <w:t xml:space="preserve"> </w:t>
            </w:r>
            <w:r w:rsidR="005023C5">
              <w:t>–</w:t>
            </w:r>
            <w:r>
              <w:t xml:space="preserve"> </w:t>
            </w:r>
            <w:r w:rsidR="005023C5" w:rsidRPr="00896DAC">
              <w:rPr>
                <w:b/>
              </w:rPr>
              <w:t xml:space="preserve">5,2 tūkst. </w:t>
            </w:r>
            <w:proofErr w:type="spellStart"/>
            <w:r w:rsidR="005023C5" w:rsidRPr="00896DAC">
              <w:rPr>
                <w:b/>
              </w:rPr>
              <w:t>Eur</w:t>
            </w:r>
            <w:proofErr w:type="spellEnd"/>
            <w:r w:rsidR="005023C5">
              <w:t xml:space="preserve">. Iš KPP programos 2023 m. buvo skirta 25,8 tūkst. Šiais metais, per kaimo reikalų komiteto pirmininko bendrą pasitarimą su seniūnais buvo minima, kad kiekvienais metais siekti, kad prie skiriamų KPP lėšų iš biudžeto būtų skiriama po 20 </w:t>
            </w:r>
            <w:r w:rsidR="005023C5">
              <w:rPr>
                <w:lang w:val="en-US"/>
              </w:rPr>
              <w:t>%</w:t>
            </w:r>
            <w:r w:rsidR="005023C5">
              <w:t xml:space="preserve"> vietinės reikšmės kelių priežiūrai</w:t>
            </w:r>
            <w:r w:rsidR="00857F0E">
              <w:t xml:space="preserve"> (be skiriamų lėšų sniego valymui)</w:t>
            </w:r>
            <w:r w:rsidR="005023C5">
              <w:t xml:space="preserve">. Kas sutarytų 5,2 tūkst. </w:t>
            </w:r>
            <w:r w:rsidR="00857F0E">
              <w:t xml:space="preserve"> </w:t>
            </w:r>
            <w:r w:rsidR="00BE15D7">
              <w:t>Būtina ieškoti būdų ir lėšų, kaip ir atskira eilute skirti lėšų šaligatvių remontui.</w:t>
            </w:r>
          </w:p>
          <w:p w:rsidR="00857F0E" w:rsidRDefault="00857F0E" w:rsidP="00857F0E">
            <w:pPr>
              <w:pStyle w:val="Sraopastraipa"/>
            </w:pPr>
          </w:p>
          <w:p w:rsidR="00857F0E" w:rsidRDefault="00857F0E" w:rsidP="000F560F">
            <w:pPr>
              <w:numPr>
                <w:ilvl w:val="0"/>
                <w:numId w:val="3"/>
              </w:numPr>
              <w:jc w:val="both"/>
            </w:pPr>
            <w:r w:rsidRPr="00857F0E">
              <w:rPr>
                <w:b/>
                <w:u w:val="single"/>
              </w:rPr>
              <w:t>Žaidimų aikštelių patikrai ir remontui</w:t>
            </w:r>
            <w:r>
              <w:t xml:space="preserve"> – </w:t>
            </w:r>
            <w:r w:rsidRPr="00857F0E">
              <w:rPr>
                <w:b/>
              </w:rPr>
              <w:t xml:space="preserve">2,0 tūkst. </w:t>
            </w:r>
            <w:proofErr w:type="spellStart"/>
            <w:r w:rsidRPr="00857F0E">
              <w:rPr>
                <w:b/>
              </w:rPr>
              <w:t>Eur</w:t>
            </w:r>
            <w:proofErr w:type="spellEnd"/>
            <w:r>
              <w:t xml:space="preserve">. Esamų vaikų žaidimų aikštelių patikrai preliminariai reikalinga 600 </w:t>
            </w:r>
            <w:proofErr w:type="spellStart"/>
            <w:r>
              <w:t>Eur</w:t>
            </w:r>
            <w:proofErr w:type="spellEnd"/>
            <w:r>
              <w:t>. Tos aikštelės yra įrengtos bendruomenių lėšomis. Jos bus perduodamos į savivaldybės/seniūnijos turto balansą. Būtina joms atlikti patikrą ir remontuoti pagal rekomendacijas</w:t>
            </w:r>
          </w:p>
          <w:p w:rsidR="005023C5" w:rsidRDefault="005023C5" w:rsidP="005023C5">
            <w:pPr>
              <w:pStyle w:val="Sraopastraipa"/>
            </w:pPr>
          </w:p>
          <w:p w:rsidR="00861344" w:rsidRDefault="005023C5" w:rsidP="00014ADB">
            <w:pPr>
              <w:numPr>
                <w:ilvl w:val="0"/>
                <w:numId w:val="3"/>
              </w:numPr>
              <w:jc w:val="both"/>
            </w:pPr>
            <w:r w:rsidRPr="00861344">
              <w:rPr>
                <w:b/>
                <w:u w:val="single"/>
              </w:rPr>
              <w:t>Alsėdžių kapinių aptvėrimui</w:t>
            </w:r>
            <w:r>
              <w:t xml:space="preserve"> </w:t>
            </w:r>
            <w:r w:rsidR="00896DAC">
              <w:t>–</w:t>
            </w:r>
            <w:r>
              <w:t xml:space="preserve"> </w:t>
            </w:r>
            <w:r w:rsidR="00896DAC">
              <w:t xml:space="preserve">Alsėdžių kapinių bendras plotas – 5,5980 ha. </w:t>
            </w:r>
            <w:r w:rsidR="00857F0E">
              <w:t>Išorinių kraštinių p</w:t>
            </w:r>
            <w:r w:rsidR="00896DAC">
              <w:t xml:space="preserve">erimetro ilgis - apie 1000 m. dalis perimetro yra aptverta </w:t>
            </w:r>
            <w:r w:rsidR="00857F0E">
              <w:t>–</w:t>
            </w:r>
            <w:r w:rsidR="00896DAC">
              <w:t xml:space="preserve"> </w:t>
            </w:r>
            <w:r w:rsidR="00857F0E">
              <w:t>apie 250 m.</w:t>
            </w:r>
            <w:r w:rsidR="00896DAC">
              <w:t xml:space="preserve"> Kitoje dalyje aptvėrimo nėra. Pastaraisiais metais daug piliečių nusiskundimų, kad kapinės neaptvertos ir jose laukiniai žvėrys: lapės, stirnos, barsukai  pridaro nuotolių, nugraužia augalus, gėles. </w:t>
            </w:r>
            <w:r w:rsidR="00857F0E">
              <w:t>Reikalingas kapinių aptvėrimas segmentine tvora. Lėšų poreikis nežinomas, sąmatos nėra. Būtina parengti darbų sąmatą.</w:t>
            </w:r>
          </w:p>
          <w:p w:rsidR="00861344" w:rsidRDefault="00861344" w:rsidP="00861344">
            <w:pPr>
              <w:ind w:left="720"/>
              <w:jc w:val="both"/>
            </w:pPr>
          </w:p>
        </w:tc>
      </w:tr>
      <w:tr w:rsidR="00254ACB" w:rsidTr="00254ACB">
        <w:tc>
          <w:tcPr>
            <w:tcW w:w="1643" w:type="dxa"/>
            <w:shd w:val="clear" w:color="auto" w:fill="auto"/>
          </w:tcPr>
          <w:p w:rsidR="00C4235A" w:rsidRPr="00254ACB" w:rsidRDefault="00C4235A" w:rsidP="00254ACB">
            <w:pPr>
              <w:jc w:val="center"/>
              <w:rPr>
                <w:b/>
                <w:i/>
              </w:rPr>
            </w:pPr>
            <w:r w:rsidRPr="00254ACB">
              <w:rPr>
                <w:b/>
                <w:i/>
              </w:rPr>
              <w:t xml:space="preserve">Viso </w:t>
            </w:r>
            <w:r w:rsidR="00E064C2" w:rsidRPr="00254ACB">
              <w:rPr>
                <w:b/>
                <w:i/>
              </w:rPr>
              <w:t>komunalinis ūkis:</w:t>
            </w:r>
          </w:p>
        </w:tc>
        <w:tc>
          <w:tcPr>
            <w:tcW w:w="1495" w:type="dxa"/>
            <w:shd w:val="clear" w:color="auto" w:fill="auto"/>
          </w:tcPr>
          <w:p w:rsidR="00C4235A" w:rsidRPr="00254ACB" w:rsidRDefault="00FA3BA5" w:rsidP="00254ACB">
            <w:pPr>
              <w:jc w:val="center"/>
              <w:rPr>
                <w:b/>
                <w:i/>
              </w:rPr>
            </w:pPr>
            <w:r w:rsidRPr="00254ACB">
              <w:rPr>
                <w:b/>
                <w:i/>
              </w:rPr>
              <w:t>85,00</w:t>
            </w:r>
          </w:p>
        </w:tc>
        <w:tc>
          <w:tcPr>
            <w:tcW w:w="1690" w:type="dxa"/>
            <w:shd w:val="clear" w:color="auto" w:fill="auto"/>
          </w:tcPr>
          <w:p w:rsidR="00FA3BA5" w:rsidRPr="00254ACB" w:rsidRDefault="00E064C2" w:rsidP="00254ACB">
            <w:pPr>
              <w:jc w:val="center"/>
              <w:rPr>
                <w:b/>
                <w:i/>
              </w:rPr>
            </w:pPr>
            <w:r w:rsidRPr="00254ACB">
              <w:rPr>
                <w:b/>
                <w:i/>
              </w:rPr>
              <w:t>28,5</w:t>
            </w:r>
            <w:r w:rsidR="00FA3BA5" w:rsidRPr="00254ACB">
              <w:rPr>
                <w:b/>
                <w:i/>
              </w:rPr>
              <w:t xml:space="preserve"> – 11,8 </w:t>
            </w:r>
            <w:r w:rsidR="00FA3BA5" w:rsidRPr="00254ACB">
              <w:rPr>
                <w:i/>
              </w:rPr>
              <w:t xml:space="preserve">sezoninių </w:t>
            </w:r>
            <w:proofErr w:type="spellStart"/>
            <w:r w:rsidR="00FA3BA5" w:rsidRPr="00254ACB">
              <w:rPr>
                <w:i/>
              </w:rPr>
              <w:t>darbininų</w:t>
            </w:r>
            <w:proofErr w:type="spellEnd"/>
            <w:r w:rsidR="00FA3BA5" w:rsidRPr="00254ACB">
              <w:rPr>
                <w:i/>
              </w:rPr>
              <w:t xml:space="preserve"> </w:t>
            </w:r>
            <w:proofErr w:type="spellStart"/>
            <w:r w:rsidR="00FA3BA5" w:rsidRPr="00254ACB">
              <w:rPr>
                <w:i/>
              </w:rPr>
              <w:t>atlgyninimams</w:t>
            </w:r>
            <w:proofErr w:type="spellEnd"/>
            <w:r w:rsidR="00FA3BA5" w:rsidRPr="00254ACB">
              <w:rPr>
                <w:b/>
                <w:i/>
              </w:rPr>
              <w:t xml:space="preserve">, liko </w:t>
            </w:r>
          </w:p>
          <w:p w:rsidR="00C4235A" w:rsidRPr="00254ACB" w:rsidRDefault="00FA3BA5" w:rsidP="00254ACB">
            <w:pPr>
              <w:jc w:val="center"/>
              <w:rPr>
                <w:b/>
                <w:i/>
              </w:rPr>
            </w:pPr>
            <w:r w:rsidRPr="00254ACB">
              <w:rPr>
                <w:b/>
                <w:i/>
              </w:rPr>
              <w:t xml:space="preserve">16,7 </w:t>
            </w:r>
          </w:p>
        </w:tc>
        <w:tc>
          <w:tcPr>
            <w:tcW w:w="1452" w:type="dxa"/>
            <w:shd w:val="clear" w:color="auto" w:fill="auto"/>
          </w:tcPr>
          <w:p w:rsidR="00C4235A" w:rsidRPr="00254ACB" w:rsidRDefault="00BB1056" w:rsidP="00254ACB">
            <w:pPr>
              <w:jc w:val="center"/>
              <w:rPr>
                <w:b/>
                <w:i/>
              </w:rPr>
            </w:pPr>
            <w:r w:rsidRPr="00254ACB">
              <w:rPr>
                <w:b/>
                <w:i/>
              </w:rPr>
              <w:t>39,1</w:t>
            </w:r>
          </w:p>
        </w:tc>
        <w:tc>
          <w:tcPr>
            <w:tcW w:w="1554" w:type="dxa"/>
            <w:shd w:val="clear" w:color="auto" w:fill="auto"/>
          </w:tcPr>
          <w:p w:rsidR="00C4235A" w:rsidRPr="00254ACB" w:rsidRDefault="00585643" w:rsidP="00254ACB">
            <w:pPr>
              <w:jc w:val="center"/>
              <w:rPr>
                <w:b/>
                <w:i/>
              </w:rPr>
            </w:pPr>
            <w:r>
              <w:rPr>
                <w:b/>
                <w:i/>
              </w:rPr>
              <w:t>165,80</w:t>
            </w:r>
          </w:p>
        </w:tc>
        <w:tc>
          <w:tcPr>
            <w:tcW w:w="6875" w:type="dxa"/>
            <w:shd w:val="clear" w:color="auto" w:fill="auto"/>
          </w:tcPr>
          <w:p w:rsidR="00C4235A" w:rsidRPr="00254ACB" w:rsidRDefault="00C4235A" w:rsidP="00254ACB">
            <w:pPr>
              <w:jc w:val="both"/>
              <w:rPr>
                <w:b/>
                <w:i/>
              </w:rPr>
            </w:pPr>
          </w:p>
        </w:tc>
      </w:tr>
      <w:tr w:rsidR="00254ACB" w:rsidTr="00254ACB">
        <w:tc>
          <w:tcPr>
            <w:tcW w:w="1643" w:type="dxa"/>
            <w:shd w:val="clear" w:color="auto" w:fill="auto"/>
          </w:tcPr>
          <w:p w:rsidR="00C4235A" w:rsidRPr="00254ACB" w:rsidRDefault="00E064C2" w:rsidP="00254ACB">
            <w:pPr>
              <w:jc w:val="center"/>
              <w:rPr>
                <w:b/>
              </w:rPr>
            </w:pPr>
            <w:r w:rsidRPr="00254ACB">
              <w:rPr>
                <w:b/>
                <w:i/>
                <w:u w:val="single"/>
              </w:rPr>
              <w:t xml:space="preserve"> IŠ VISO:</w:t>
            </w:r>
          </w:p>
        </w:tc>
        <w:tc>
          <w:tcPr>
            <w:tcW w:w="1495" w:type="dxa"/>
            <w:shd w:val="clear" w:color="auto" w:fill="auto"/>
          </w:tcPr>
          <w:p w:rsidR="00C4235A" w:rsidRPr="00254ACB" w:rsidRDefault="00FA3BA5" w:rsidP="00254ACB">
            <w:pPr>
              <w:jc w:val="center"/>
              <w:rPr>
                <w:b/>
                <w:i/>
                <w:u w:val="single"/>
              </w:rPr>
            </w:pPr>
            <w:r w:rsidRPr="00254ACB">
              <w:rPr>
                <w:b/>
                <w:i/>
                <w:u w:val="single"/>
              </w:rPr>
              <w:t>126,60</w:t>
            </w:r>
          </w:p>
        </w:tc>
        <w:tc>
          <w:tcPr>
            <w:tcW w:w="1690" w:type="dxa"/>
            <w:shd w:val="clear" w:color="auto" w:fill="auto"/>
          </w:tcPr>
          <w:p w:rsidR="00FA3BA5" w:rsidRPr="00254ACB" w:rsidRDefault="00FA3BA5" w:rsidP="00254ACB">
            <w:pPr>
              <w:jc w:val="center"/>
              <w:rPr>
                <w:b/>
                <w:i/>
              </w:rPr>
            </w:pPr>
            <w:r w:rsidRPr="00254ACB">
              <w:rPr>
                <w:b/>
                <w:i/>
              </w:rPr>
              <w:t>60,</w:t>
            </w:r>
            <w:r w:rsidR="00BB1056" w:rsidRPr="00254ACB">
              <w:rPr>
                <w:b/>
                <w:i/>
              </w:rPr>
              <w:t>2</w:t>
            </w:r>
            <w:r w:rsidRPr="00254ACB">
              <w:rPr>
                <w:b/>
                <w:i/>
              </w:rPr>
              <w:t xml:space="preserve"> – 11,8 </w:t>
            </w:r>
            <w:r w:rsidRPr="00254ACB">
              <w:rPr>
                <w:i/>
              </w:rPr>
              <w:t xml:space="preserve">sezoninių </w:t>
            </w:r>
            <w:proofErr w:type="spellStart"/>
            <w:r w:rsidRPr="00254ACB">
              <w:rPr>
                <w:i/>
              </w:rPr>
              <w:t>darbininų</w:t>
            </w:r>
            <w:proofErr w:type="spellEnd"/>
            <w:r w:rsidRPr="00254ACB">
              <w:rPr>
                <w:i/>
              </w:rPr>
              <w:t xml:space="preserve"> </w:t>
            </w:r>
            <w:proofErr w:type="spellStart"/>
            <w:r w:rsidRPr="00254ACB">
              <w:rPr>
                <w:i/>
              </w:rPr>
              <w:t>atlgyninimams</w:t>
            </w:r>
            <w:proofErr w:type="spellEnd"/>
            <w:r w:rsidRPr="00254ACB">
              <w:rPr>
                <w:b/>
                <w:i/>
              </w:rPr>
              <w:t xml:space="preserve">, liko </w:t>
            </w:r>
          </w:p>
          <w:p w:rsidR="00FA3BA5" w:rsidRPr="00254ACB" w:rsidRDefault="00FA3BA5" w:rsidP="00254ACB">
            <w:pPr>
              <w:jc w:val="center"/>
              <w:rPr>
                <w:b/>
                <w:i/>
                <w:u w:val="single"/>
              </w:rPr>
            </w:pPr>
            <w:r w:rsidRPr="00254ACB">
              <w:rPr>
                <w:b/>
                <w:i/>
                <w:u w:val="single"/>
              </w:rPr>
              <w:t>48,4</w:t>
            </w:r>
          </w:p>
          <w:p w:rsidR="00C4235A" w:rsidRPr="00254ACB" w:rsidRDefault="00C4235A" w:rsidP="00254ACB">
            <w:pPr>
              <w:jc w:val="center"/>
              <w:rPr>
                <w:b/>
                <w:i/>
                <w:u w:val="single"/>
              </w:rPr>
            </w:pPr>
          </w:p>
        </w:tc>
        <w:tc>
          <w:tcPr>
            <w:tcW w:w="1452" w:type="dxa"/>
            <w:shd w:val="clear" w:color="auto" w:fill="auto"/>
          </w:tcPr>
          <w:p w:rsidR="00C4235A" w:rsidRPr="00254ACB" w:rsidRDefault="00BB1056" w:rsidP="00254ACB">
            <w:pPr>
              <w:jc w:val="center"/>
              <w:rPr>
                <w:b/>
                <w:i/>
                <w:u w:val="single"/>
              </w:rPr>
            </w:pPr>
            <w:r w:rsidRPr="00254ACB">
              <w:rPr>
                <w:b/>
                <w:i/>
                <w:u w:val="single"/>
              </w:rPr>
              <w:t>39,1</w:t>
            </w:r>
          </w:p>
        </w:tc>
        <w:tc>
          <w:tcPr>
            <w:tcW w:w="1554" w:type="dxa"/>
            <w:shd w:val="clear" w:color="auto" w:fill="auto"/>
          </w:tcPr>
          <w:p w:rsidR="00C4235A" w:rsidRPr="00254ACB" w:rsidRDefault="00585643" w:rsidP="00254ACB">
            <w:pPr>
              <w:jc w:val="center"/>
              <w:rPr>
                <w:b/>
                <w:i/>
                <w:u w:val="single"/>
              </w:rPr>
            </w:pPr>
            <w:r>
              <w:rPr>
                <w:b/>
                <w:i/>
                <w:u w:val="single"/>
              </w:rPr>
              <w:t>215,10</w:t>
            </w:r>
          </w:p>
        </w:tc>
        <w:tc>
          <w:tcPr>
            <w:tcW w:w="6875" w:type="dxa"/>
            <w:shd w:val="clear" w:color="auto" w:fill="auto"/>
          </w:tcPr>
          <w:p w:rsidR="00C4235A" w:rsidRPr="00254ACB" w:rsidRDefault="00C4235A" w:rsidP="00254ACB">
            <w:pPr>
              <w:jc w:val="both"/>
              <w:rPr>
                <w:b/>
                <w:i/>
                <w:u w:val="single"/>
              </w:rPr>
            </w:pPr>
          </w:p>
        </w:tc>
      </w:tr>
    </w:tbl>
    <w:p w:rsidR="00DD07F1" w:rsidRDefault="00DD07F1" w:rsidP="00F3365D">
      <w:pPr>
        <w:jc w:val="center"/>
      </w:pPr>
    </w:p>
    <w:p w:rsidR="00DD07F1" w:rsidRDefault="00DD07F1" w:rsidP="00F3365D">
      <w:pPr>
        <w:jc w:val="center"/>
      </w:pPr>
    </w:p>
    <w:p w:rsidR="00F3365D" w:rsidRDefault="00F3365D" w:rsidP="00F3365D">
      <w:pPr>
        <w:jc w:val="center"/>
        <w:rPr>
          <w:b/>
        </w:rPr>
      </w:pPr>
    </w:p>
    <w:p w:rsidR="00B65187" w:rsidRPr="00861344" w:rsidRDefault="00B65187" w:rsidP="00B65187">
      <w:r w:rsidRPr="00861344">
        <w:t>Informaciją pateikė</w:t>
      </w:r>
      <w:r w:rsidR="00EF2F5B" w:rsidRPr="00861344">
        <w:t xml:space="preserve"> </w:t>
      </w:r>
      <w:r w:rsidR="00861344">
        <w:t xml:space="preserve">Alsėdžių seniūnė </w:t>
      </w:r>
      <w:r w:rsidR="00EF2F5B" w:rsidRPr="00861344">
        <w:rPr>
          <w:i/>
        </w:rPr>
        <w:t xml:space="preserve">Danutė Repšienė </w:t>
      </w:r>
    </w:p>
    <w:sectPr w:rsidR="00B65187" w:rsidRPr="00861344" w:rsidSect="00BB1056">
      <w:pgSz w:w="15840" w:h="12240" w:orient="landscape"/>
      <w:pgMar w:top="1701" w:right="1134"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03C9"/>
    <w:multiLevelType w:val="hybridMultilevel"/>
    <w:tmpl w:val="448283F0"/>
    <w:lvl w:ilvl="0" w:tplc="C284F35A">
      <w:start w:val="2"/>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 w15:restartNumberingAfterBreak="0">
    <w:nsid w:val="062F6FEE"/>
    <w:multiLevelType w:val="hybridMultilevel"/>
    <w:tmpl w:val="A552B5E2"/>
    <w:lvl w:ilvl="0" w:tplc="053C3370">
      <w:start w:val="1"/>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 w15:restartNumberingAfterBreak="0">
    <w:nsid w:val="50650B95"/>
    <w:multiLevelType w:val="hybridMultilevel"/>
    <w:tmpl w:val="5C06E2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8AD290E"/>
    <w:multiLevelType w:val="hybridMultilevel"/>
    <w:tmpl w:val="AF0E2DB2"/>
    <w:lvl w:ilvl="0" w:tplc="30C6A2CA">
      <w:start w:val="2023"/>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4" w15:restartNumberingAfterBreak="0">
    <w:nsid w:val="632005CA"/>
    <w:multiLevelType w:val="hybridMultilevel"/>
    <w:tmpl w:val="A72CD7A2"/>
    <w:lvl w:ilvl="0" w:tplc="1504AE3E">
      <w:start w:val="1"/>
      <w:numFmt w:val="decimal"/>
      <w:lvlText w:val="%1."/>
      <w:lvlJc w:val="left"/>
      <w:pPr>
        <w:ind w:left="720" w:hanging="360"/>
      </w:pPr>
      <w:rPr>
        <w:rFonts w:hint="default"/>
        <w:b w:val="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5690E8F"/>
    <w:multiLevelType w:val="hybridMultilevel"/>
    <w:tmpl w:val="39086102"/>
    <w:lvl w:ilvl="0" w:tplc="BF800278">
      <w:start w:val="1"/>
      <w:numFmt w:val="decimal"/>
      <w:lvlText w:val="%1."/>
      <w:lvlJc w:val="left"/>
      <w:pPr>
        <w:ind w:left="1140" w:hanging="360"/>
      </w:pPr>
      <w:rPr>
        <w:rFonts w:ascii="Tahoma" w:hAnsi="Tahoma" w:hint="default"/>
        <w:sz w:val="16"/>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6" w15:restartNumberingAfterBreak="0">
    <w:nsid w:val="75B735D4"/>
    <w:multiLevelType w:val="hybridMultilevel"/>
    <w:tmpl w:val="985EB572"/>
    <w:lvl w:ilvl="0" w:tplc="4AD64FB2">
      <w:start w:val="2023"/>
      <w:numFmt w:val="bullet"/>
      <w:lvlText w:val="-"/>
      <w:lvlJc w:val="left"/>
      <w:pPr>
        <w:ind w:left="420" w:hanging="360"/>
      </w:pPr>
      <w:rPr>
        <w:rFonts w:ascii="Times New Roman" w:eastAsia="Times New Roman" w:hAnsi="Times New Roman" w:cs="Times New Roman" w:hint="default"/>
        <w:u w:val="none"/>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65D"/>
    <w:rsid w:val="000D33EC"/>
    <w:rsid w:val="000F560F"/>
    <w:rsid w:val="001A1BB1"/>
    <w:rsid w:val="001F021C"/>
    <w:rsid w:val="00254ACB"/>
    <w:rsid w:val="00290015"/>
    <w:rsid w:val="002A0F3D"/>
    <w:rsid w:val="002D5483"/>
    <w:rsid w:val="0033579C"/>
    <w:rsid w:val="00345389"/>
    <w:rsid w:val="00354E42"/>
    <w:rsid w:val="00392D5B"/>
    <w:rsid w:val="004B1984"/>
    <w:rsid w:val="004D7530"/>
    <w:rsid w:val="005023C5"/>
    <w:rsid w:val="00585643"/>
    <w:rsid w:val="005B1004"/>
    <w:rsid w:val="00632470"/>
    <w:rsid w:val="006F042C"/>
    <w:rsid w:val="0079625D"/>
    <w:rsid w:val="008060A2"/>
    <w:rsid w:val="00857F0E"/>
    <w:rsid w:val="00861344"/>
    <w:rsid w:val="00896DAC"/>
    <w:rsid w:val="008B226F"/>
    <w:rsid w:val="008D0D40"/>
    <w:rsid w:val="009B7BBA"/>
    <w:rsid w:val="00A10386"/>
    <w:rsid w:val="00A33D8B"/>
    <w:rsid w:val="00AA03DF"/>
    <w:rsid w:val="00B219EE"/>
    <w:rsid w:val="00B24154"/>
    <w:rsid w:val="00B65187"/>
    <w:rsid w:val="00B6644B"/>
    <w:rsid w:val="00BA10D8"/>
    <w:rsid w:val="00BB1056"/>
    <w:rsid w:val="00BE15D7"/>
    <w:rsid w:val="00C4235A"/>
    <w:rsid w:val="00C60922"/>
    <w:rsid w:val="00D466BD"/>
    <w:rsid w:val="00DD07F1"/>
    <w:rsid w:val="00E064C2"/>
    <w:rsid w:val="00E21EA6"/>
    <w:rsid w:val="00E42C5F"/>
    <w:rsid w:val="00E645DA"/>
    <w:rsid w:val="00E6592C"/>
    <w:rsid w:val="00EE082A"/>
    <w:rsid w:val="00EF2F5B"/>
    <w:rsid w:val="00F3365D"/>
    <w:rsid w:val="00FA3BA5"/>
    <w:rsid w:val="00FB7A41"/>
    <w:rsid w:val="00FC16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ACCF94"/>
  <w15:chartTrackingRefBased/>
  <w15:docId w15:val="{F28631C9-5DAB-4903-A225-667F3427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336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rsid w:val="00AA03DF"/>
    <w:pPr>
      <w:tabs>
        <w:tab w:val="center" w:pos="4677"/>
        <w:tab w:val="right" w:pos="9355"/>
      </w:tabs>
    </w:pPr>
    <w:rPr>
      <w:lang w:eastAsia="lt-LT"/>
    </w:rPr>
  </w:style>
  <w:style w:type="character" w:customStyle="1" w:styleId="AntratsDiagrama">
    <w:name w:val="Antraštės Diagrama"/>
    <w:link w:val="Antrats"/>
    <w:rsid w:val="00632470"/>
    <w:rPr>
      <w:sz w:val="24"/>
      <w:szCs w:val="24"/>
    </w:rPr>
  </w:style>
  <w:style w:type="paragraph" w:styleId="Debesliotekstas">
    <w:name w:val="Balloon Text"/>
    <w:basedOn w:val="prastasis"/>
    <w:link w:val="DebesliotekstasDiagrama"/>
    <w:semiHidden/>
    <w:rsid w:val="000F560F"/>
    <w:rPr>
      <w:rFonts w:ascii="Tahoma" w:hAnsi="Tahoma" w:cs="Tahoma"/>
      <w:sz w:val="16"/>
      <w:szCs w:val="16"/>
      <w:lang w:eastAsia="lt-LT"/>
    </w:rPr>
  </w:style>
  <w:style w:type="character" w:customStyle="1" w:styleId="DebesliotekstasDiagrama">
    <w:name w:val="Debesėlio tekstas Diagrama"/>
    <w:link w:val="Debesliotekstas"/>
    <w:semiHidden/>
    <w:rsid w:val="000F560F"/>
    <w:rPr>
      <w:rFonts w:ascii="Tahoma" w:hAnsi="Tahoma" w:cs="Tahoma"/>
      <w:sz w:val="16"/>
      <w:szCs w:val="16"/>
    </w:rPr>
  </w:style>
  <w:style w:type="paragraph" w:styleId="Sraopastraipa">
    <w:name w:val="List Paragraph"/>
    <w:basedOn w:val="prastasis"/>
    <w:uiPriority w:val="34"/>
    <w:qFormat/>
    <w:rsid w:val="005023C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0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5</Pages>
  <Words>5784</Words>
  <Characters>3297</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Informacija komitetui</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Informacija komitetui</dc:title>
  <dc:subject/>
  <dc:creator>Genovaitė Vasylienė</dc:creator>
  <cp:keywords/>
  <cp:lastModifiedBy>Danutė Repšienė</cp:lastModifiedBy>
  <cp:revision>3</cp:revision>
  <dcterms:created xsi:type="dcterms:W3CDTF">2023-10-10T15:09:00Z</dcterms:created>
  <dcterms:modified xsi:type="dcterms:W3CDTF">2023-10-11T11:11:00Z</dcterms:modified>
</cp:coreProperties>
</file>