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FD0CB" w14:textId="38043E65" w:rsidR="00582318" w:rsidRPr="00485372" w:rsidRDefault="00144E2A" w:rsidP="00DF7C19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27A911A" wp14:editId="794A5E89">
            <wp:simplePos x="0" y="0"/>
            <wp:positionH relativeFrom="column">
              <wp:posOffset>2809875</wp:posOffset>
            </wp:positionH>
            <wp:positionV relativeFrom="paragraph">
              <wp:posOffset>-261620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14:paraId="2899F0A3" w14:textId="77777777" w:rsidR="00582318" w:rsidRPr="00485372" w:rsidRDefault="00582318" w:rsidP="00C6611F">
      <w:pPr>
        <w:ind w:firstLine="0"/>
        <w:jc w:val="center"/>
        <w:rPr>
          <w:b/>
          <w:sz w:val="28"/>
          <w:szCs w:val="28"/>
        </w:rPr>
      </w:pPr>
    </w:p>
    <w:p w14:paraId="34B15E7A" w14:textId="77777777" w:rsidR="00C40038" w:rsidRPr="00485372" w:rsidRDefault="00C40038" w:rsidP="00C6611F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1382502E" w14:textId="545EBDC0" w:rsidR="003322F4" w:rsidRPr="00485372" w:rsidRDefault="003322F4" w:rsidP="00C6611F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>DĖL</w:t>
      </w:r>
      <w:r w:rsidR="000B68CE">
        <w:rPr>
          <w:b/>
          <w:sz w:val="28"/>
          <w:szCs w:val="28"/>
        </w:rPr>
        <w:t xml:space="preserve"> LEIDIMO NUGRIAUTI</w:t>
      </w:r>
      <w:r w:rsidR="00F856AC">
        <w:rPr>
          <w:b/>
          <w:sz w:val="28"/>
          <w:szCs w:val="28"/>
        </w:rPr>
        <w:t xml:space="preserve"> </w:t>
      </w:r>
      <w:r w:rsidR="0077587C">
        <w:rPr>
          <w:b/>
          <w:sz w:val="28"/>
          <w:szCs w:val="28"/>
        </w:rPr>
        <w:t xml:space="preserve">IR NURAŠYTI </w:t>
      </w:r>
      <w:r w:rsidR="00F856AC">
        <w:rPr>
          <w:b/>
          <w:sz w:val="28"/>
          <w:szCs w:val="28"/>
        </w:rPr>
        <w:t>NEKILNOJAMĄJĮ TURTĄ</w:t>
      </w:r>
      <w:r w:rsidR="000B68CE">
        <w:rPr>
          <w:b/>
          <w:sz w:val="28"/>
          <w:szCs w:val="28"/>
        </w:rPr>
        <w:t xml:space="preserve"> </w:t>
      </w:r>
    </w:p>
    <w:bookmarkEnd w:id="0"/>
    <w:p w14:paraId="094AB0BB" w14:textId="77777777" w:rsidR="00C40038" w:rsidRDefault="00C40038" w:rsidP="00C6611F">
      <w:pPr>
        <w:ind w:firstLine="0"/>
        <w:jc w:val="center"/>
        <w:rPr>
          <w:sz w:val="28"/>
          <w:szCs w:val="28"/>
        </w:rPr>
      </w:pPr>
    </w:p>
    <w:p w14:paraId="116ABC5F" w14:textId="4BB9E376" w:rsidR="00C40038" w:rsidRPr="002F462C" w:rsidRDefault="00A81E1D" w:rsidP="00C6611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F856AC">
        <w:rPr>
          <w:noProof/>
          <w:szCs w:val="24"/>
        </w:rPr>
        <w:t>gruodžio 2</w:t>
      </w:r>
      <w:r w:rsidR="009B6E21">
        <w:rPr>
          <w:noProof/>
          <w:szCs w:val="24"/>
        </w:rPr>
        <w:t>7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215F0F">
        <w:rPr>
          <w:szCs w:val="24"/>
        </w:rPr>
        <w:t>T1-343</w:t>
      </w:r>
    </w:p>
    <w:p w14:paraId="2F93BBA8" w14:textId="5E49E494" w:rsidR="00C40038" w:rsidRDefault="00C40038" w:rsidP="00434348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3D2FB26" w14:textId="77777777" w:rsidR="00434348" w:rsidRPr="005F2EDB" w:rsidRDefault="00434348" w:rsidP="00434348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</w:p>
    <w:p w14:paraId="5192D5F3" w14:textId="626A804D" w:rsidR="00C40038" w:rsidRDefault="003322F4" w:rsidP="00C6611F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21DA1">
        <w:t>7</w:t>
      </w:r>
      <w:r w:rsidR="009A4C10" w:rsidRPr="003F1832">
        <w:t xml:space="preserve"> punktu ir </w:t>
      </w:r>
      <w:r w:rsidRPr="003F1832">
        <w:t xml:space="preserve">27 straipsnio </w:t>
      </w:r>
      <w:r w:rsidR="003F1832">
        <w:t>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21DA1">
        <w:rPr>
          <w:bCs/>
          <w:szCs w:val="28"/>
        </w:rPr>
        <w:t>6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</w:t>
      </w:r>
      <w:r w:rsidR="00F856AC">
        <w:rPr>
          <w:bCs/>
          <w:szCs w:val="28"/>
        </w:rPr>
        <w:t>lopšelio-darželio</w:t>
      </w:r>
      <w:r w:rsidR="007E5431">
        <w:rPr>
          <w:bCs/>
          <w:szCs w:val="28"/>
        </w:rPr>
        <w:t xml:space="preserve"> </w:t>
      </w:r>
      <w:r w:rsidR="00321DA1">
        <w:rPr>
          <w:bCs/>
          <w:szCs w:val="28"/>
        </w:rPr>
        <w:t xml:space="preserve">„Raudonkepuraitė“ </w:t>
      </w:r>
      <w:r w:rsidR="007E5431">
        <w:rPr>
          <w:bCs/>
          <w:szCs w:val="28"/>
        </w:rPr>
        <w:t xml:space="preserve">direktoriaus 2021 m. </w:t>
      </w:r>
      <w:r w:rsidR="00321DA1">
        <w:rPr>
          <w:bCs/>
          <w:szCs w:val="28"/>
        </w:rPr>
        <w:t>lapkričio 30 d. įsakymu Nr. V1-49/2021</w:t>
      </w:r>
      <w:r w:rsidR="007E5431">
        <w:rPr>
          <w:bCs/>
          <w:szCs w:val="28"/>
        </w:rPr>
        <w:t xml:space="preserve">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321DA1">
        <w:rPr>
          <w:bCs/>
          <w:szCs w:val="28"/>
        </w:rPr>
        <w:t>“ sudarytos komisijos pateiktą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 xml:space="preserve">2021 m. </w:t>
      </w:r>
      <w:r w:rsidR="00321DA1">
        <w:rPr>
          <w:bCs/>
          <w:szCs w:val="28"/>
        </w:rPr>
        <w:t>gruodžio 1</w:t>
      </w:r>
      <w:r w:rsidR="00D82611">
        <w:rPr>
          <w:bCs/>
          <w:szCs w:val="28"/>
        </w:rPr>
        <w:t xml:space="preserve"> d. pažymą Nr. </w:t>
      </w:r>
      <w:r w:rsidR="00321DA1">
        <w:rPr>
          <w:bCs/>
          <w:szCs w:val="28"/>
        </w:rPr>
        <w:t xml:space="preserve">AR-148/2021-12-01, </w:t>
      </w:r>
      <w:r w:rsidR="0077587C">
        <w:rPr>
          <w:bCs/>
          <w:szCs w:val="28"/>
        </w:rPr>
        <w:t xml:space="preserve">į </w:t>
      </w:r>
      <w:r w:rsidR="00321DA1">
        <w:rPr>
          <w:bCs/>
          <w:szCs w:val="28"/>
        </w:rPr>
        <w:t>Plungės lopšelio-darželio „Raudonkepuraitė“ 2019 m. gruodžio 5 d. raštą Nr. AG-7209</w:t>
      </w:r>
      <w:r w:rsidR="007C2ED2">
        <w:rPr>
          <w:bCs/>
          <w:szCs w:val="28"/>
        </w:rPr>
        <w:t xml:space="preserve">,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0926B4C8" w14:textId="2826E225" w:rsidR="00321DA1" w:rsidRDefault="00805314" w:rsidP="00C6611F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>
        <w:t xml:space="preserve"> </w:t>
      </w:r>
      <w:r w:rsidRPr="00416E2C">
        <w:t xml:space="preserve">Leisti </w:t>
      </w:r>
      <w:r>
        <w:t>Plungės rajono savivaldybės administracijai</w:t>
      </w:r>
      <w:r w:rsidRPr="00416E2C">
        <w:t xml:space="preserve"> teisės aktų nustatyta tvarka nugriauti </w:t>
      </w:r>
      <w:r w:rsidR="000C2F26">
        <w:t>Plungės rajono savivaldyb</w:t>
      </w:r>
      <w:r w:rsidR="002B6286">
        <w:t>ei</w:t>
      </w:r>
      <w:r w:rsidR="000C2F26">
        <w:t xml:space="preserve"> </w:t>
      </w:r>
      <w:r w:rsidR="002B6286">
        <w:t xml:space="preserve">nuosavybės teise priklausantį Plungės lopšelio-darželio „Raudonkepuraitė“ </w:t>
      </w:r>
      <w:r w:rsidR="000C2F26">
        <w:t xml:space="preserve">patikėjimo teise valdomą </w:t>
      </w:r>
      <w:r w:rsidRPr="00416E2C">
        <w:t xml:space="preserve">sprendimo </w:t>
      </w:r>
      <w:r>
        <w:t>priede</w:t>
      </w:r>
      <w:r w:rsidRPr="00416E2C">
        <w:t xml:space="preserve"> nurodytą nekilnojamąjį turtą.</w:t>
      </w:r>
      <w:r w:rsidR="00DC5386">
        <w:t xml:space="preserve"> </w:t>
      </w:r>
      <w:r w:rsidR="002B6286">
        <w:t xml:space="preserve">  </w:t>
      </w:r>
    </w:p>
    <w:p w14:paraId="2CF2068B" w14:textId="77777777" w:rsidR="003078A1" w:rsidRPr="005D175B" w:rsidRDefault="00321DA1" w:rsidP="00C6611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 xml:space="preserve"> </w:t>
      </w:r>
      <w:r w:rsidR="005D175B">
        <w:t>Įpareigoti Plungės rajono savivaldybės administraciją išregistruoti likviduotus statinius iš Nekilnojamojo turto registro duomenų bazės.</w:t>
      </w:r>
    </w:p>
    <w:p w14:paraId="11600250" w14:textId="6DAA44F8" w:rsidR="00DF7C19" w:rsidRPr="009B6E21" w:rsidRDefault="005D175B" w:rsidP="009B6E21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 xml:space="preserve"> Leisti Plungės lopšeliui-darželiui „Raudonkepuraitė“ nurašyti iš buhalterinės apskaitos likviduotus ir išregistruotus statinius.</w:t>
      </w:r>
    </w:p>
    <w:p w14:paraId="6C30FB8A" w14:textId="77777777" w:rsidR="009B6E21" w:rsidRDefault="009B6E21" w:rsidP="009B6E21">
      <w:pPr>
        <w:pStyle w:val="Sraopastraipa"/>
        <w:ind w:firstLine="0"/>
      </w:pPr>
    </w:p>
    <w:p w14:paraId="2E2EC330" w14:textId="77777777" w:rsidR="009B6E21" w:rsidRPr="009B6E21" w:rsidRDefault="009B6E21" w:rsidP="009B6E21">
      <w:pPr>
        <w:pStyle w:val="Sraopastraipa"/>
        <w:ind w:firstLine="0"/>
        <w:rPr>
          <w:szCs w:val="28"/>
        </w:rPr>
      </w:pPr>
    </w:p>
    <w:p w14:paraId="5302CB33" w14:textId="0611BD10" w:rsidR="009B6E21" w:rsidRDefault="00DF7C19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 xml:space="preserve">Savivaldybės meras </w:t>
      </w:r>
      <w:r w:rsidR="00144E2A">
        <w:rPr>
          <w:rFonts w:eastAsia="Arial Unicode MS" w:cs="Tahoma"/>
          <w:kern w:val="1"/>
          <w:lang w:eastAsia="hi-IN" w:bidi="hi-IN"/>
        </w:rPr>
        <w:tab/>
        <w:t>Audrius Klišonis</w:t>
      </w:r>
    </w:p>
    <w:p w14:paraId="3DA05188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4A64AF4A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13A57E68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4EEF0B0F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43882FE4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5AA217D1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17788C89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06B434EC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4A5EEA58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36511D0B" w14:textId="77777777"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14:paraId="6E72098C" w14:textId="2D3A374C" w:rsidR="00EB45C9" w:rsidRDefault="00DF7C19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ab/>
      </w:r>
      <w:r w:rsidR="00953F09" w:rsidRPr="002626B7">
        <w:rPr>
          <w:rFonts w:eastAsia="Arial Unicode MS" w:cs="Tahoma"/>
          <w:kern w:val="1"/>
          <w:lang w:eastAsia="hi-IN" w:bidi="hi-IN"/>
        </w:rPr>
        <w:t xml:space="preserve"> </w:t>
      </w:r>
    </w:p>
    <w:p w14:paraId="68A00AD1" w14:textId="77777777" w:rsidR="009B6E21" w:rsidRDefault="009B6E21" w:rsidP="005D175B">
      <w:pPr>
        <w:ind w:firstLine="0"/>
        <w:rPr>
          <w:bCs/>
          <w:szCs w:val="24"/>
        </w:rPr>
        <w:sectPr w:rsidR="009B6E21" w:rsidSect="00BE29D2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14:paraId="18D859D7" w14:textId="77777777" w:rsidR="00E75439" w:rsidRDefault="00805314" w:rsidP="00E75439">
      <w:pPr>
        <w:ind w:left="11350" w:firstLine="227"/>
        <w:rPr>
          <w:bCs/>
          <w:szCs w:val="24"/>
        </w:rPr>
      </w:pPr>
      <w:r w:rsidRPr="004B4F72">
        <w:rPr>
          <w:bCs/>
          <w:szCs w:val="24"/>
        </w:rPr>
        <w:lastRenderedPageBreak/>
        <w:t>Plungės rajono savivaldybės</w:t>
      </w:r>
    </w:p>
    <w:p w14:paraId="1D395ACA" w14:textId="77777777" w:rsidR="00E75439" w:rsidRDefault="00805314" w:rsidP="00E75439">
      <w:pPr>
        <w:ind w:left="11350" w:firstLine="227"/>
        <w:rPr>
          <w:bCs/>
          <w:szCs w:val="24"/>
        </w:rPr>
      </w:pPr>
      <w:r w:rsidRPr="004B4F72">
        <w:rPr>
          <w:bCs/>
          <w:szCs w:val="24"/>
        </w:rPr>
        <w:t xml:space="preserve">tarybos 2021 m. </w:t>
      </w:r>
      <w:r>
        <w:rPr>
          <w:bCs/>
          <w:szCs w:val="24"/>
        </w:rPr>
        <w:t>gruodžio 2</w:t>
      </w:r>
      <w:r w:rsidR="009B6E21">
        <w:rPr>
          <w:bCs/>
          <w:szCs w:val="24"/>
        </w:rPr>
        <w:t>7</w:t>
      </w:r>
      <w:r w:rsidRPr="004B4F72">
        <w:rPr>
          <w:bCs/>
          <w:szCs w:val="24"/>
        </w:rPr>
        <w:t xml:space="preserve"> d.</w:t>
      </w:r>
    </w:p>
    <w:p w14:paraId="22EB2BAB" w14:textId="77777777" w:rsidR="00E75439" w:rsidRDefault="00E75439" w:rsidP="00E75439">
      <w:pPr>
        <w:ind w:left="11350" w:firstLine="227"/>
        <w:rPr>
          <w:bCs/>
          <w:szCs w:val="24"/>
        </w:rPr>
      </w:pPr>
      <w:r>
        <w:rPr>
          <w:bCs/>
          <w:szCs w:val="24"/>
        </w:rPr>
        <w:t>s</w:t>
      </w:r>
      <w:r w:rsidR="00805314" w:rsidRPr="004B4F72">
        <w:rPr>
          <w:bCs/>
          <w:szCs w:val="24"/>
        </w:rPr>
        <w:t>prendimo Nr. T1-</w:t>
      </w:r>
      <w:r w:rsidR="007F63BB">
        <w:rPr>
          <w:bCs/>
          <w:szCs w:val="24"/>
        </w:rPr>
        <w:t>343</w:t>
      </w:r>
    </w:p>
    <w:p w14:paraId="59BFAE25" w14:textId="32F6FE5D" w:rsidR="00805314" w:rsidRPr="004B4F72" w:rsidRDefault="00805314" w:rsidP="00E75439">
      <w:pPr>
        <w:ind w:left="11350" w:firstLine="227"/>
        <w:rPr>
          <w:bCs/>
          <w:szCs w:val="24"/>
        </w:rPr>
      </w:pPr>
      <w:bookmarkStart w:id="1" w:name="_GoBack"/>
      <w:bookmarkEnd w:id="1"/>
      <w:r>
        <w:rPr>
          <w:bCs/>
          <w:szCs w:val="24"/>
        </w:rPr>
        <w:t>p</w:t>
      </w:r>
      <w:r w:rsidRPr="004B4F72">
        <w:rPr>
          <w:bCs/>
          <w:szCs w:val="24"/>
        </w:rPr>
        <w:t>riedas</w:t>
      </w:r>
    </w:p>
    <w:p w14:paraId="2988A566" w14:textId="77777777" w:rsidR="00805314" w:rsidRDefault="00805314" w:rsidP="00805314">
      <w:pPr>
        <w:ind w:firstLine="0"/>
        <w:jc w:val="center"/>
        <w:rPr>
          <w:b/>
          <w:szCs w:val="24"/>
        </w:rPr>
      </w:pPr>
    </w:p>
    <w:p w14:paraId="7A3DF95E" w14:textId="77777777" w:rsidR="00805314" w:rsidRPr="00855D43" w:rsidRDefault="00805314" w:rsidP="00805314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>
        <w:rPr>
          <w:b/>
          <w:szCs w:val="24"/>
        </w:rPr>
        <w:t xml:space="preserve"> PRIPAŽINTO</w:t>
      </w:r>
      <w:r w:rsidRPr="001C5C6D">
        <w:rPr>
          <w:b/>
          <w:szCs w:val="24"/>
        </w:rPr>
        <w:t xml:space="preserve"> </w:t>
      </w:r>
      <w:r>
        <w:rPr>
          <w:b/>
          <w:szCs w:val="24"/>
        </w:rPr>
        <w:t xml:space="preserve">NEREIKALINGU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14:paraId="369477A5" w14:textId="77777777" w:rsidR="00805314" w:rsidRDefault="00805314" w:rsidP="00805314">
      <w:pPr>
        <w:jc w:val="center"/>
        <w:rPr>
          <w:b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391"/>
        <w:gridCol w:w="2126"/>
        <w:gridCol w:w="2126"/>
        <w:gridCol w:w="2410"/>
        <w:gridCol w:w="1276"/>
        <w:gridCol w:w="1134"/>
      </w:tblGrid>
      <w:tr w:rsidR="00805314" w:rsidRPr="00E256E9" w14:paraId="78B0C902" w14:textId="77777777" w:rsidTr="0027324C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CF60" w14:textId="77777777" w:rsidR="00805314" w:rsidRPr="00E256E9" w:rsidRDefault="00805314" w:rsidP="0027324C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9F4B" w14:textId="77777777" w:rsidR="00805314" w:rsidRPr="00E256E9" w:rsidRDefault="00805314" w:rsidP="0027324C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DF2F" w14:textId="4FD062B3" w:rsidR="00805314" w:rsidRPr="00E256E9" w:rsidRDefault="00434348" w:rsidP="0027324C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Bendras </w:t>
            </w:r>
            <w:r w:rsidR="00805314" w:rsidRPr="00E256E9">
              <w:rPr>
                <w:b/>
                <w:szCs w:val="24"/>
              </w:rPr>
              <w:t>plotas, kv. 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C6DF" w14:textId="77777777"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26B7" w14:textId="77777777"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FBD1" w14:textId="77777777"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69C0" w14:textId="77777777"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805314" w:rsidRPr="00383E8C" w14:paraId="3512859E" w14:textId="77777777" w:rsidTr="00805314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3EE6" w14:textId="77777777" w:rsidR="00805314" w:rsidRPr="00383E8C" w:rsidRDefault="00805314" w:rsidP="0027324C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CA0F" w14:textId="6AA46266" w:rsidR="00805314" w:rsidRPr="00383E8C" w:rsidRDefault="00805314" w:rsidP="00805314">
            <w:pPr>
              <w:ind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Pastatas – sandėlis, </w:t>
            </w:r>
            <w:r w:rsidR="00EB45C9">
              <w:rPr>
                <w:szCs w:val="22"/>
              </w:rPr>
              <w:t>esantis</w:t>
            </w:r>
            <w:r>
              <w:rPr>
                <w:szCs w:val="22"/>
              </w:rPr>
              <w:t xml:space="preserve"> V. Mačernio g. 47B, Plungėje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6663" w14:textId="77777777" w:rsidR="00805314" w:rsidRPr="00383E8C" w:rsidRDefault="00805314" w:rsidP="00805314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37,00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9BA3" w14:textId="77777777" w:rsidR="00805314" w:rsidRPr="00383E8C" w:rsidRDefault="00805314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251203201004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947C" w14:textId="77777777" w:rsidR="00805314" w:rsidRPr="00383E8C" w:rsidRDefault="00805314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6896-8003-5024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0B79" w14:textId="0590E3AE" w:rsidR="00805314" w:rsidRPr="00383E8C" w:rsidRDefault="00805314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</w:t>
            </w:r>
            <w:r w:rsidR="00EB45C9">
              <w:rPr>
                <w:szCs w:val="22"/>
                <w:lang w:eastAsia="lt-LT"/>
              </w:rPr>
              <w:t xml:space="preserve"> </w:t>
            </w:r>
            <w:r>
              <w:rPr>
                <w:szCs w:val="22"/>
                <w:lang w:eastAsia="lt-LT"/>
              </w:rPr>
              <w:t>986,50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0429" w14:textId="05E6DD9F" w:rsidR="00805314" w:rsidRPr="00383E8C" w:rsidRDefault="00805314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</w:t>
            </w:r>
            <w:r w:rsidR="00EB45C9">
              <w:rPr>
                <w:szCs w:val="22"/>
                <w:lang w:eastAsia="lt-LT"/>
              </w:rPr>
              <w:t xml:space="preserve"> </w:t>
            </w:r>
            <w:r>
              <w:rPr>
                <w:szCs w:val="22"/>
                <w:lang w:eastAsia="lt-LT"/>
              </w:rPr>
              <w:t>202,86</w:t>
            </w:r>
          </w:p>
        </w:tc>
      </w:tr>
      <w:tr w:rsidR="00805314" w:rsidRPr="00383E8C" w14:paraId="0241C1B7" w14:textId="77777777" w:rsidTr="00805314">
        <w:trPr>
          <w:trHeight w:val="62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C761" w14:textId="77777777" w:rsidR="00805314" w:rsidRPr="00383E8C" w:rsidRDefault="00805314" w:rsidP="0027324C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AAED" w14:textId="3F5FE38F" w:rsidR="00805314" w:rsidRPr="00FB3214" w:rsidRDefault="00805314" w:rsidP="0027324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Pastatas – kiemo rūsys, </w:t>
            </w:r>
            <w:r w:rsidR="00EB45C9">
              <w:rPr>
                <w:szCs w:val="22"/>
              </w:rPr>
              <w:t>esantis</w:t>
            </w:r>
            <w:r>
              <w:rPr>
                <w:szCs w:val="22"/>
              </w:rPr>
              <w:t xml:space="preserve"> V. Mačernio g. 47B, Plungėje (būklė – sunaikintas)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4C5E" w14:textId="77777777" w:rsidR="00805314" w:rsidRPr="00383E8C" w:rsidRDefault="00805314" w:rsidP="00805314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31,00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9F2B" w14:textId="77777777" w:rsidR="00805314" w:rsidRPr="00383E8C" w:rsidRDefault="000C2F26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197A" w14:textId="77777777" w:rsidR="00805314" w:rsidRPr="00383E8C" w:rsidRDefault="00805314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>
              <w:rPr>
                <w:rFonts w:eastAsia="Times New Roman"/>
                <w:szCs w:val="22"/>
                <w:lang w:eastAsia="lt-LT"/>
              </w:rPr>
              <w:t>6896-8003-5035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2387" w14:textId="77777777" w:rsidR="00805314" w:rsidRPr="00383E8C" w:rsidRDefault="000C2F26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D373" w14:textId="77777777" w:rsidR="00805314" w:rsidRPr="00383E8C" w:rsidRDefault="000C2F26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-</w:t>
            </w:r>
          </w:p>
        </w:tc>
      </w:tr>
    </w:tbl>
    <w:p w14:paraId="2FB14247" w14:textId="77777777" w:rsidR="00805314" w:rsidRDefault="00805314" w:rsidP="00DF7C19">
      <w:pPr>
        <w:tabs>
          <w:tab w:val="left" w:pos="7938"/>
        </w:tabs>
        <w:ind w:firstLine="0"/>
        <w:sectPr w:rsidR="00805314" w:rsidSect="005D175B">
          <w:pgSz w:w="16838" w:h="11906" w:orient="landscape"/>
          <w:pgMar w:top="1701" w:right="992" w:bottom="567" w:left="1134" w:header="567" w:footer="567" w:gutter="0"/>
          <w:cols w:space="1296"/>
          <w:docGrid w:linePitch="360"/>
        </w:sectPr>
      </w:pPr>
    </w:p>
    <w:p w14:paraId="33955F48" w14:textId="77777777" w:rsidR="00805314" w:rsidRDefault="00805314" w:rsidP="00871722">
      <w:pPr>
        <w:jc w:val="center"/>
      </w:pPr>
    </w:p>
    <w:sectPr w:rsidR="00805314" w:rsidSect="00081B6E">
      <w:pgSz w:w="11906" w:h="16838"/>
      <w:pgMar w:top="1276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8778C"/>
    <w:rsid w:val="000B68CE"/>
    <w:rsid w:val="000C154B"/>
    <w:rsid w:val="000C2F26"/>
    <w:rsid w:val="000D77D5"/>
    <w:rsid w:val="000E16A6"/>
    <w:rsid w:val="00124AC5"/>
    <w:rsid w:val="001377C3"/>
    <w:rsid w:val="00144E2A"/>
    <w:rsid w:val="001525B7"/>
    <w:rsid w:val="00155752"/>
    <w:rsid w:val="00160602"/>
    <w:rsid w:val="00165EE4"/>
    <w:rsid w:val="00175CB2"/>
    <w:rsid w:val="001A40E0"/>
    <w:rsid w:val="001C5C6D"/>
    <w:rsid w:val="001E191F"/>
    <w:rsid w:val="001F4793"/>
    <w:rsid w:val="001F6C1D"/>
    <w:rsid w:val="00201E8B"/>
    <w:rsid w:val="00205447"/>
    <w:rsid w:val="0021177B"/>
    <w:rsid w:val="00215F0F"/>
    <w:rsid w:val="00216519"/>
    <w:rsid w:val="00224F63"/>
    <w:rsid w:val="0022530F"/>
    <w:rsid w:val="00226916"/>
    <w:rsid w:val="0023064D"/>
    <w:rsid w:val="002509B7"/>
    <w:rsid w:val="00254123"/>
    <w:rsid w:val="00264CFB"/>
    <w:rsid w:val="002743D0"/>
    <w:rsid w:val="0029520D"/>
    <w:rsid w:val="00295805"/>
    <w:rsid w:val="002A7B79"/>
    <w:rsid w:val="002B3D8E"/>
    <w:rsid w:val="002B5048"/>
    <w:rsid w:val="002B6286"/>
    <w:rsid w:val="002B7140"/>
    <w:rsid w:val="002C4692"/>
    <w:rsid w:val="002E39F9"/>
    <w:rsid w:val="002F462C"/>
    <w:rsid w:val="002F4680"/>
    <w:rsid w:val="00304981"/>
    <w:rsid w:val="003078A1"/>
    <w:rsid w:val="00321DA1"/>
    <w:rsid w:val="003322F4"/>
    <w:rsid w:val="003B4FE4"/>
    <w:rsid w:val="003B7ECA"/>
    <w:rsid w:val="003E4206"/>
    <w:rsid w:val="003E4283"/>
    <w:rsid w:val="003F1832"/>
    <w:rsid w:val="00416E2C"/>
    <w:rsid w:val="00434348"/>
    <w:rsid w:val="00460315"/>
    <w:rsid w:val="0047035C"/>
    <w:rsid w:val="00473D10"/>
    <w:rsid w:val="00485372"/>
    <w:rsid w:val="004972C7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175B"/>
    <w:rsid w:val="005D4F7A"/>
    <w:rsid w:val="005E1CA0"/>
    <w:rsid w:val="005F13BE"/>
    <w:rsid w:val="005F2EDB"/>
    <w:rsid w:val="006064F9"/>
    <w:rsid w:val="00636BE9"/>
    <w:rsid w:val="00641AD2"/>
    <w:rsid w:val="00647AAD"/>
    <w:rsid w:val="00663F06"/>
    <w:rsid w:val="006826A4"/>
    <w:rsid w:val="006853AF"/>
    <w:rsid w:val="006865C5"/>
    <w:rsid w:val="006922C5"/>
    <w:rsid w:val="006B2646"/>
    <w:rsid w:val="006B3622"/>
    <w:rsid w:val="006B4EDB"/>
    <w:rsid w:val="006B6436"/>
    <w:rsid w:val="006C47D2"/>
    <w:rsid w:val="006D60AD"/>
    <w:rsid w:val="00723AC1"/>
    <w:rsid w:val="00727307"/>
    <w:rsid w:val="0077587C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F63BB"/>
    <w:rsid w:val="00803A40"/>
    <w:rsid w:val="00805314"/>
    <w:rsid w:val="00812CAD"/>
    <w:rsid w:val="00835C40"/>
    <w:rsid w:val="00846040"/>
    <w:rsid w:val="00855D43"/>
    <w:rsid w:val="00867E39"/>
    <w:rsid w:val="00871722"/>
    <w:rsid w:val="00872194"/>
    <w:rsid w:val="008723B2"/>
    <w:rsid w:val="00881C7E"/>
    <w:rsid w:val="008A4F3D"/>
    <w:rsid w:val="008B3D28"/>
    <w:rsid w:val="008B582F"/>
    <w:rsid w:val="008E7943"/>
    <w:rsid w:val="008F2CEC"/>
    <w:rsid w:val="0091072E"/>
    <w:rsid w:val="0092185A"/>
    <w:rsid w:val="00945705"/>
    <w:rsid w:val="00945BEB"/>
    <w:rsid w:val="00953F09"/>
    <w:rsid w:val="00965163"/>
    <w:rsid w:val="009A4C10"/>
    <w:rsid w:val="009B6E21"/>
    <w:rsid w:val="009C4561"/>
    <w:rsid w:val="009F732E"/>
    <w:rsid w:val="00A1297E"/>
    <w:rsid w:val="00A15DCE"/>
    <w:rsid w:val="00A42C18"/>
    <w:rsid w:val="00A43D74"/>
    <w:rsid w:val="00A60CB7"/>
    <w:rsid w:val="00A66481"/>
    <w:rsid w:val="00A81E1D"/>
    <w:rsid w:val="00A829C5"/>
    <w:rsid w:val="00A9297F"/>
    <w:rsid w:val="00A971B0"/>
    <w:rsid w:val="00AC27E2"/>
    <w:rsid w:val="00AF5D31"/>
    <w:rsid w:val="00AF7610"/>
    <w:rsid w:val="00B229A0"/>
    <w:rsid w:val="00B303C2"/>
    <w:rsid w:val="00B35155"/>
    <w:rsid w:val="00B36B14"/>
    <w:rsid w:val="00B433FC"/>
    <w:rsid w:val="00B475B5"/>
    <w:rsid w:val="00B84165"/>
    <w:rsid w:val="00B85853"/>
    <w:rsid w:val="00BA0BD3"/>
    <w:rsid w:val="00BA1252"/>
    <w:rsid w:val="00BA5E2A"/>
    <w:rsid w:val="00BC2187"/>
    <w:rsid w:val="00BD1E37"/>
    <w:rsid w:val="00BE29D2"/>
    <w:rsid w:val="00BE4FAE"/>
    <w:rsid w:val="00BF6640"/>
    <w:rsid w:val="00C028A2"/>
    <w:rsid w:val="00C25118"/>
    <w:rsid w:val="00C25B15"/>
    <w:rsid w:val="00C40038"/>
    <w:rsid w:val="00C55298"/>
    <w:rsid w:val="00C61DF5"/>
    <w:rsid w:val="00C6611F"/>
    <w:rsid w:val="00C769DB"/>
    <w:rsid w:val="00C81826"/>
    <w:rsid w:val="00C951B3"/>
    <w:rsid w:val="00CA7E5E"/>
    <w:rsid w:val="00CC6632"/>
    <w:rsid w:val="00CE0820"/>
    <w:rsid w:val="00CF7DD0"/>
    <w:rsid w:val="00D1213D"/>
    <w:rsid w:val="00D34417"/>
    <w:rsid w:val="00D82611"/>
    <w:rsid w:val="00DA4CA2"/>
    <w:rsid w:val="00DA4E15"/>
    <w:rsid w:val="00DC5386"/>
    <w:rsid w:val="00DF3A88"/>
    <w:rsid w:val="00DF7C19"/>
    <w:rsid w:val="00E01007"/>
    <w:rsid w:val="00E124F3"/>
    <w:rsid w:val="00E266CE"/>
    <w:rsid w:val="00E3173B"/>
    <w:rsid w:val="00E65D30"/>
    <w:rsid w:val="00E75439"/>
    <w:rsid w:val="00E76900"/>
    <w:rsid w:val="00EA78FC"/>
    <w:rsid w:val="00EB45C9"/>
    <w:rsid w:val="00EC65D8"/>
    <w:rsid w:val="00EF13BC"/>
    <w:rsid w:val="00F03FE2"/>
    <w:rsid w:val="00F04BAD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84430"/>
    <w:rsid w:val="00F856AC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F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21177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21177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F5AE-A423-4FB2-ACBB-517DE844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55F268F2</Template>
  <TotalTime>2</TotalTime>
  <Pages>3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2021-12-22T10:54:00Z</dcterms:created>
  <dcterms:modified xsi:type="dcterms:W3CDTF">2021-12-27T14:39:00Z</dcterms:modified>
</cp:coreProperties>
</file>