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63367B" w:rsidP="001D5962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2788920</wp:posOffset>
            </wp:positionH>
            <wp:positionV relativeFrom="paragraph">
              <wp:posOffset>-300355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1D5962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1D5962">
      <w:pPr>
        <w:ind w:firstLine="0"/>
        <w:jc w:val="center"/>
        <w:rPr>
          <w:b/>
          <w:sz w:val="28"/>
        </w:rPr>
      </w:pPr>
    </w:p>
    <w:p w:rsidR="00E47A32" w:rsidRPr="001E4CC2" w:rsidRDefault="003C1FB9" w:rsidP="001D5962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C664B5" w:rsidP="001D5962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BF5E82">
        <w:rPr>
          <w:b/>
          <w:caps/>
          <w:sz w:val="28"/>
          <w:szCs w:val="28"/>
        </w:rPr>
        <w:t>RAJONO SAVIVALDYBĖS TARYBOS 2020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BF5E82">
        <w:rPr>
          <w:b/>
          <w:caps/>
          <w:sz w:val="28"/>
          <w:szCs w:val="28"/>
        </w:rPr>
        <w:t xml:space="preserve"> RUGSĖJO 24</w:t>
      </w:r>
      <w:r w:rsidR="007A7A71">
        <w:rPr>
          <w:b/>
          <w:caps/>
          <w:sz w:val="28"/>
          <w:szCs w:val="28"/>
        </w:rPr>
        <w:t xml:space="preserve"> 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T1-183</w:t>
      </w:r>
      <w:r w:rsidR="007A7A71">
        <w:rPr>
          <w:b/>
          <w:caps/>
          <w:sz w:val="28"/>
          <w:szCs w:val="28"/>
        </w:rPr>
        <w:t xml:space="preserve"> „DĖL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PASLAUGŲ IR ŠVIETIMO PAGALBOS CENTRO</w:t>
      </w:r>
      <w:r w:rsidR="00234759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>pedagoginių pareigybių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="003C1FB9">
        <w:rPr>
          <w:b/>
          <w:caps/>
          <w:sz w:val="28"/>
          <w:szCs w:val="28"/>
        </w:rPr>
        <w:t xml:space="preserve">PLUNGĖS </w:t>
      </w:r>
      <w:r>
        <w:rPr>
          <w:b/>
          <w:caps/>
          <w:sz w:val="28"/>
          <w:szCs w:val="28"/>
        </w:rPr>
        <w:t>rajono savivaldybės žlibinų kultūros centro</w:t>
      </w:r>
      <w:r w:rsidR="00BF5E82">
        <w:rPr>
          <w:b/>
          <w:caps/>
          <w:sz w:val="28"/>
          <w:szCs w:val="28"/>
        </w:rPr>
        <w:t xml:space="preserve"> PEDAGOGINIŲ PAREIGYBIŲ</w:t>
      </w:r>
      <w:r>
        <w:rPr>
          <w:b/>
          <w:caps/>
          <w:sz w:val="28"/>
          <w:szCs w:val="28"/>
        </w:rPr>
        <w:t xml:space="preserve"> </w:t>
      </w:r>
      <w:r w:rsidR="00BF5E82">
        <w:rPr>
          <w:b/>
          <w:caps/>
          <w:sz w:val="28"/>
          <w:szCs w:val="28"/>
        </w:rPr>
        <w:t xml:space="preserve">DIDŽIAUSIO LEISTINO SKAIČIAUS </w:t>
      </w:r>
      <w:r w:rsidR="00BF5E82">
        <w:rPr>
          <w:b/>
          <w:sz w:val="28"/>
          <w:szCs w:val="28"/>
        </w:rPr>
        <w:t>2020-2021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A7A71">
        <w:rPr>
          <w:b/>
          <w:caps/>
          <w:sz w:val="28"/>
          <w:szCs w:val="28"/>
        </w:rPr>
        <w:t>“ pakeitimo</w:t>
      </w:r>
    </w:p>
    <w:p w:rsidR="001E4CC2" w:rsidRPr="00921BA1" w:rsidRDefault="001E4CC2" w:rsidP="001D596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C011DE" w:rsidP="001D596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birželio</w:t>
      </w:r>
      <w:r w:rsidR="00C664B5">
        <w:rPr>
          <w:rStyle w:val="Komentaronuoroda"/>
          <w:sz w:val="24"/>
          <w:szCs w:val="24"/>
        </w:rPr>
        <w:t xml:space="preserve"> </w:t>
      </w:r>
      <w:r w:rsidR="00BF5E82">
        <w:rPr>
          <w:rStyle w:val="Komentaronuoroda"/>
          <w:sz w:val="24"/>
          <w:szCs w:val="24"/>
        </w:rPr>
        <w:t>2</w:t>
      </w:r>
      <w:r>
        <w:rPr>
          <w:rStyle w:val="Komentaronuoroda"/>
          <w:sz w:val="24"/>
          <w:szCs w:val="24"/>
        </w:rPr>
        <w:t>3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8B72A2">
        <w:rPr>
          <w:rStyle w:val="Komentaronuoroda"/>
          <w:sz w:val="24"/>
          <w:szCs w:val="24"/>
        </w:rPr>
        <w:t>172</w:t>
      </w:r>
      <w:bookmarkStart w:id="0" w:name="_GoBack"/>
      <w:bookmarkEnd w:id="0"/>
    </w:p>
    <w:p w:rsidR="001E4CC2" w:rsidRDefault="001E4CC2" w:rsidP="001D596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6D0079" w:rsidRDefault="007A7A71" w:rsidP="007A7A71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rajono savivaldybės tarybos 2020 m. rugsėjo 24 d. sprendimo Nr. T1-183  </w:t>
      </w:r>
      <w:r w:rsidR="00E90591">
        <w:rPr>
          <w:szCs w:val="24"/>
        </w:rPr>
        <w:t>„D</w:t>
      </w:r>
      <w:r w:rsidR="00E90591" w:rsidRPr="009A3B29">
        <w:rPr>
          <w:szCs w:val="24"/>
        </w:rPr>
        <w:t xml:space="preserve">ėl </w:t>
      </w:r>
      <w:r w:rsidR="00E90591">
        <w:rPr>
          <w:szCs w:val="24"/>
        </w:rPr>
        <w:t>P</w:t>
      </w:r>
      <w:r w:rsidR="00E90591" w:rsidRPr="009A3B29">
        <w:rPr>
          <w:szCs w:val="24"/>
        </w:rPr>
        <w:t>lungės rajono savivaldybės švietimo įstaigų,</w:t>
      </w:r>
      <w:r w:rsidR="00E90591" w:rsidRPr="00E90591">
        <w:rPr>
          <w:szCs w:val="24"/>
        </w:rPr>
        <w:t xml:space="preserve"> </w:t>
      </w:r>
      <w:r w:rsidR="00E90591">
        <w:rPr>
          <w:szCs w:val="24"/>
        </w:rPr>
        <w:t>P</w:t>
      </w:r>
      <w:r w:rsidR="00E90591" w:rsidRPr="009A3B29">
        <w:rPr>
          <w:szCs w:val="24"/>
        </w:rPr>
        <w:t>lungės paslaugų ir švietimo pagalbos centro pedagoginių pareigybių ir nepedagoginių pareigybių, finansuojamų iš mokymo lėšų</w:t>
      </w:r>
      <w:r w:rsidR="00E90591" w:rsidRPr="00E90591">
        <w:rPr>
          <w:szCs w:val="24"/>
        </w:rPr>
        <w:t xml:space="preserve">, </w:t>
      </w:r>
      <w:r w:rsidR="00E90591">
        <w:rPr>
          <w:szCs w:val="24"/>
        </w:rPr>
        <w:t>P</w:t>
      </w:r>
      <w:r w:rsidR="00E90591" w:rsidRPr="00E90591">
        <w:rPr>
          <w:szCs w:val="24"/>
        </w:rPr>
        <w:t xml:space="preserve">lungės rajono savivaldybės </w:t>
      </w:r>
      <w:proofErr w:type="spellStart"/>
      <w:r w:rsidR="00E90591">
        <w:rPr>
          <w:szCs w:val="24"/>
        </w:rPr>
        <w:t>Ž</w:t>
      </w:r>
      <w:r w:rsidR="00E90591" w:rsidRPr="009A3B29">
        <w:rPr>
          <w:szCs w:val="24"/>
        </w:rPr>
        <w:t>libinų</w:t>
      </w:r>
      <w:proofErr w:type="spellEnd"/>
      <w:r w:rsidR="00E90591" w:rsidRPr="009A3B29">
        <w:rPr>
          <w:szCs w:val="24"/>
        </w:rPr>
        <w:t xml:space="preserve"> kultūros centro pedagoginių pareigybių didžiausio leistino skaičiaus 2020-2021 mokslo metams patvirtinimo“</w:t>
      </w:r>
      <w:r w:rsidR="00E90591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E90591">
        <w:rPr>
          <w:szCs w:val="24"/>
        </w:rPr>
        <w:t>:</w:t>
      </w:r>
      <w:r w:rsidR="00C011DE">
        <w:rPr>
          <w:szCs w:val="24"/>
        </w:rPr>
        <w:t xml:space="preserve"> </w:t>
      </w:r>
    </w:p>
    <w:p w:rsidR="00E90591" w:rsidRDefault="006D0079" w:rsidP="007A7A71">
      <w:pPr>
        <w:rPr>
          <w:szCs w:val="24"/>
        </w:rPr>
      </w:pPr>
      <w:r>
        <w:rPr>
          <w:szCs w:val="24"/>
        </w:rPr>
        <w:t>1. 1.1</w:t>
      </w:r>
      <w:r w:rsidR="007A7A71">
        <w:rPr>
          <w:szCs w:val="24"/>
        </w:rPr>
        <w:t xml:space="preserve"> </w:t>
      </w:r>
      <w:r w:rsidR="00C011DE">
        <w:rPr>
          <w:szCs w:val="24"/>
        </w:rPr>
        <w:t>punkt</w:t>
      </w:r>
      <w:r w:rsidR="00E90591">
        <w:rPr>
          <w:szCs w:val="24"/>
        </w:rPr>
        <w:t>o</w:t>
      </w:r>
      <w:r w:rsidR="007A7A71">
        <w:rPr>
          <w:szCs w:val="24"/>
        </w:rPr>
        <w:t xml:space="preserve"> „</w:t>
      </w:r>
      <w:r w:rsidR="00BF5E82">
        <w:rPr>
          <w:szCs w:val="24"/>
        </w:rPr>
        <w:t xml:space="preserve">Plungės </w:t>
      </w:r>
      <w:r>
        <w:rPr>
          <w:szCs w:val="24"/>
        </w:rPr>
        <w:t>rajono švietimo įstaigų</w:t>
      </w:r>
      <w:r w:rsidR="00C011DE">
        <w:rPr>
          <w:szCs w:val="24"/>
        </w:rPr>
        <w:t xml:space="preserve"> didžiausias leistinas pedagoginių pareigybių bei nepedagoginių pareigybių, finansuojamų iš mokymo lėšų skaičius</w:t>
      </w:r>
      <w:r w:rsidR="007A7A71">
        <w:rPr>
          <w:szCs w:val="24"/>
        </w:rPr>
        <w:t xml:space="preserve">“ </w:t>
      </w:r>
      <w:r w:rsidR="00E90591">
        <w:rPr>
          <w:szCs w:val="24"/>
        </w:rPr>
        <w:t xml:space="preserve">12 eilutę (Eil. Nr. 12) </w:t>
      </w:r>
      <w:r w:rsidR="00C011DE">
        <w:rPr>
          <w:szCs w:val="24"/>
        </w:rPr>
        <w:t>ir išdėstyti j</w:t>
      </w:r>
      <w:r w:rsidR="00E90591">
        <w:rPr>
          <w:szCs w:val="24"/>
        </w:rPr>
        <w:t>ą</w:t>
      </w:r>
      <w:r w:rsidR="00C011DE">
        <w:rPr>
          <w:szCs w:val="24"/>
        </w:rPr>
        <w:t xml:space="preserve"> </w:t>
      </w:r>
      <w:r w:rsidR="00E90591">
        <w:rPr>
          <w:szCs w:val="24"/>
        </w:rPr>
        <w:t>taip</w:t>
      </w:r>
      <w:r w:rsidR="00C011DE">
        <w:rPr>
          <w:szCs w:val="24"/>
        </w:rPr>
        <w:t>:</w:t>
      </w:r>
    </w:p>
    <w:p w:rsidR="006D0079" w:rsidRDefault="006D0079" w:rsidP="00E90591">
      <w:pPr>
        <w:rPr>
          <w:szCs w:val="24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48"/>
        <w:gridCol w:w="1437"/>
        <w:gridCol w:w="1276"/>
        <w:gridCol w:w="992"/>
        <w:gridCol w:w="850"/>
        <w:gridCol w:w="993"/>
        <w:gridCol w:w="992"/>
        <w:gridCol w:w="850"/>
        <w:gridCol w:w="993"/>
        <w:gridCol w:w="992"/>
      </w:tblGrid>
      <w:tr w:rsidR="006D0079" w:rsidRPr="006D0079" w:rsidTr="006D0079">
        <w:trPr>
          <w:trHeight w:val="255"/>
        </w:trPr>
        <w:tc>
          <w:tcPr>
            <w:tcW w:w="992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079" w:rsidRPr="009A3B29" w:rsidRDefault="0063367B" w:rsidP="006D0079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  <w:r>
              <w:rPr>
                <w:bCs/>
                <w:sz w:val="22"/>
                <w:szCs w:val="22"/>
                <w:lang w:eastAsia="lt-LT"/>
              </w:rPr>
              <w:t>1.1.</w:t>
            </w:r>
            <w:r w:rsidR="006D0079" w:rsidRPr="009A3B29">
              <w:rPr>
                <w:bCs/>
                <w:sz w:val="22"/>
                <w:szCs w:val="22"/>
                <w:lang w:eastAsia="lt-LT"/>
              </w:rPr>
              <w:t xml:space="preserve"> PLUNGĖS RAJONO ŠVIETIMO ĮSTAIGŲ DIDŽIAUSIAIS LE</w:t>
            </w:r>
            <w:r>
              <w:rPr>
                <w:bCs/>
                <w:sz w:val="22"/>
                <w:szCs w:val="22"/>
                <w:lang w:eastAsia="lt-LT"/>
              </w:rPr>
              <w:t xml:space="preserve">ISTINAS PEDAGOGINIŲ PAREIGYBIŲ </w:t>
            </w:r>
            <w:r w:rsidR="006D0079" w:rsidRPr="009A3B29">
              <w:rPr>
                <w:bCs/>
                <w:sz w:val="22"/>
                <w:szCs w:val="22"/>
                <w:lang w:eastAsia="lt-LT"/>
              </w:rPr>
              <w:t>BEI NEPEDAGOGINIŲ PAREIGYBIŲ, FINANSUOJAMŲ IŠ MOKYMO  LĖŠŲ, SKAIČIUS</w:t>
            </w:r>
          </w:p>
        </w:tc>
      </w:tr>
      <w:tr w:rsidR="006D0079" w:rsidRPr="006D0079" w:rsidTr="006D0079">
        <w:trPr>
          <w:trHeight w:val="345"/>
        </w:trPr>
        <w:tc>
          <w:tcPr>
            <w:tcW w:w="992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6D0079" w:rsidRPr="006D0079" w:rsidTr="00C47C04">
        <w:trPr>
          <w:trHeight w:val="8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692D1C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079" w:rsidRPr="009A3B29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</w:tr>
      <w:tr w:rsidR="006D0079" w:rsidRPr="006D0079" w:rsidTr="005964F6">
        <w:trPr>
          <w:trHeight w:val="81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Eil. Nr.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Įstaigos pavadinimas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Pedagoginių pareigybių skaičius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Iš viso pedagoginių pareigybių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Nepedagoginės pareigybės, finansuojamos iš mokymo lėšų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Iš viso nepedagoginių pareigybių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Iš viso pareigybių</w:t>
            </w:r>
          </w:p>
        </w:tc>
      </w:tr>
      <w:tr w:rsidR="006D0079" w:rsidRPr="006D0079" w:rsidTr="00C47C04">
        <w:trPr>
          <w:trHeight w:val="1245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Ugdymo procesui o</w:t>
            </w:r>
            <w:r w:rsidR="00AC0DE8" w:rsidRPr="00BA7521">
              <w:rPr>
                <w:bCs/>
                <w:sz w:val="20"/>
                <w:lang w:eastAsia="lt-LT"/>
              </w:rPr>
              <w:t>r</w:t>
            </w:r>
            <w:r w:rsidRPr="00BA7521">
              <w:rPr>
                <w:bCs/>
                <w:sz w:val="20"/>
                <w:lang w:eastAsia="lt-LT"/>
              </w:rPr>
              <w:t>ganizuoti ir valdyti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 xml:space="preserve">Švietimo pagalbos specialistai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Kiti pedagogai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 xml:space="preserve">Švietimo pagalbos specialistai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Kitos nepedagoginės pareigybės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bCs/>
                <w:sz w:val="20"/>
                <w:lang w:eastAsia="lt-LT"/>
              </w:rPr>
            </w:pPr>
          </w:p>
        </w:tc>
      </w:tr>
      <w:tr w:rsidR="006D0079" w:rsidRPr="006D0079" w:rsidTr="00C47C04">
        <w:trPr>
          <w:trHeight w:val="28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12</w:t>
            </w:r>
            <w:r w:rsidR="00E90591" w:rsidRPr="00BA7521">
              <w:rPr>
                <w:sz w:val="20"/>
                <w:lang w:eastAsia="lt-LT"/>
              </w:rPr>
              <w:t>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Specialiojo ugdymo centras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29,92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37,67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  <w:lang w:eastAsia="lt-LT"/>
              </w:rPr>
              <w:t>42,87</w:t>
            </w:r>
          </w:p>
        </w:tc>
      </w:tr>
      <w:tr w:rsidR="006D0079" w:rsidRPr="006D0079" w:rsidTr="00C47C04">
        <w:trPr>
          <w:trHeight w:val="3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079" w:rsidRPr="00BA7521" w:rsidRDefault="006D0079" w:rsidP="006D0079">
            <w:pPr>
              <w:ind w:firstLine="0"/>
              <w:jc w:val="left"/>
              <w:rPr>
                <w:sz w:val="20"/>
                <w:lang w:eastAsia="lt-LT"/>
              </w:rPr>
            </w:pPr>
            <w:r w:rsidRPr="00BA7521">
              <w:rPr>
                <w:sz w:val="20"/>
                <w:lang w:eastAsia="lt-LT"/>
              </w:rPr>
              <w:t>Iš viso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BA7521">
              <w:rPr>
                <w:bCs/>
                <w:sz w:val="20"/>
              </w:rPr>
              <w:t>41,60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58,25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572,86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672,71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38,65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jc w:val="center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079" w:rsidRPr="00BA7521" w:rsidRDefault="006D0079" w:rsidP="006D0079">
            <w:pPr>
              <w:ind w:firstLine="0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39,40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079" w:rsidRPr="00BA7521" w:rsidRDefault="006D0079" w:rsidP="006D0079">
            <w:pPr>
              <w:ind w:firstLine="0"/>
              <w:rPr>
                <w:bCs/>
                <w:sz w:val="20"/>
              </w:rPr>
            </w:pPr>
            <w:r w:rsidRPr="00BA7521">
              <w:rPr>
                <w:bCs/>
                <w:sz w:val="20"/>
              </w:rPr>
              <w:t>712,11</w:t>
            </w:r>
          </w:p>
        </w:tc>
      </w:tr>
    </w:tbl>
    <w:p w:rsidR="006D0079" w:rsidRDefault="006D0079" w:rsidP="009A3B29">
      <w:pPr>
        <w:ind w:firstLine="0"/>
        <w:rPr>
          <w:szCs w:val="24"/>
        </w:rPr>
      </w:pPr>
    </w:p>
    <w:p w:rsidR="00E90591" w:rsidRDefault="00E90591" w:rsidP="006D0079">
      <w:pPr>
        <w:rPr>
          <w:szCs w:val="24"/>
        </w:rPr>
      </w:pPr>
      <w:r>
        <w:rPr>
          <w:szCs w:val="24"/>
        </w:rPr>
        <w:t xml:space="preserve">2. </w:t>
      </w:r>
      <w:r w:rsidR="006D0079">
        <w:rPr>
          <w:szCs w:val="24"/>
        </w:rPr>
        <w:t>1.2 punktą „Plungės paslaugų ir švietimo pagalbos centro didžiausias leistinas pedagoginių pareigybių bei nepedagoginių pareigybių, finansuojamų iš mokymo lėšų skaičius“ išdėstyti</w:t>
      </w:r>
      <w:r>
        <w:rPr>
          <w:szCs w:val="24"/>
        </w:rPr>
        <w:t xml:space="preserve"> taip</w:t>
      </w:r>
      <w:r w:rsidR="006D0079">
        <w:rPr>
          <w:szCs w:val="24"/>
        </w:rPr>
        <w:t>:</w:t>
      </w:r>
    </w:p>
    <w:p w:rsidR="006D0079" w:rsidRDefault="006D0079" w:rsidP="00E90591">
      <w:pPr>
        <w:rPr>
          <w:szCs w:val="24"/>
        </w:rPr>
      </w:pPr>
    </w:p>
    <w:tbl>
      <w:tblPr>
        <w:tblW w:w="8477" w:type="dxa"/>
        <w:tblLook w:val="04A0" w:firstRow="1" w:lastRow="0" w:firstColumn="1" w:lastColumn="0" w:noHBand="0" w:noVBand="1"/>
      </w:tblPr>
      <w:tblGrid>
        <w:gridCol w:w="284"/>
        <w:gridCol w:w="2268"/>
        <w:gridCol w:w="3402"/>
        <w:gridCol w:w="1843"/>
        <w:gridCol w:w="236"/>
        <w:gridCol w:w="222"/>
        <w:gridCol w:w="208"/>
        <w:gridCol w:w="14"/>
      </w:tblGrid>
      <w:tr w:rsidR="00C011DE" w:rsidRPr="009A3B29" w:rsidTr="00DD7B81">
        <w:trPr>
          <w:gridAfter w:val="1"/>
          <w:wAfter w:w="14" w:type="dxa"/>
          <w:trHeight w:val="705"/>
        </w:trPr>
        <w:tc>
          <w:tcPr>
            <w:tcW w:w="8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9A3B29">
              <w:rPr>
                <w:bCs/>
                <w:sz w:val="22"/>
                <w:szCs w:val="22"/>
                <w:lang w:eastAsia="lt-LT"/>
              </w:rPr>
              <w:lastRenderedPageBreak/>
              <w:t>1.2</w:t>
            </w:r>
            <w:r w:rsidR="00692D1C">
              <w:rPr>
                <w:bCs/>
                <w:sz w:val="22"/>
                <w:szCs w:val="22"/>
                <w:lang w:eastAsia="lt-LT"/>
              </w:rPr>
              <w:t>.</w:t>
            </w:r>
            <w:r w:rsidR="0063367B">
              <w:rPr>
                <w:bCs/>
                <w:sz w:val="22"/>
                <w:szCs w:val="22"/>
                <w:lang w:eastAsia="lt-LT"/>
              </w:rPr>
              <w:t xml:space="preserve"> </w:t>
            </w:r>
            <w:r w:rsidRPr="009A3B29">
              <w:rPr>
                <w:bCs/>
                <w:sz w:val="22"/>
                <w:szCs w:val="22"/>
                <w:lang w:eastAsia="lt-LT"/>
              </w:rPr>
              <w:t>PLUNGĖS PASLAUGŲ IR ŠVIETIMO PAGALBOS CENTRO DIŽIAUSIAS LEISTINAS PEDAGOGINIŲ PAREIGYBIŲ BEI NEPEDAGOGINIŲ PAREIGYBIŲ, FINANSUOJAMŲ IŠ MOKYMO LĖŠŲ</w:t>
            </w:r>
            <w:r w:rsidR="00692D1C">
              <w:rPr>
                <w:bCs/>
                <w:sz w:val="22"/>
                <w:szCs w:val="22"/>
                <w:lang w:eastAsia="lt-LT"/>
              </w:rPr>
              <w:t>,</w:t>
            </w:r>
            <w:r w:rsidRPr="009A3B29">
              <w:rPr>
                <w:bCs/>
                <w:sz w:val="22"/>
                <w:szCs w:val="22"/>
                <w:lang w:eastAsia="lt-LT"/>
              </w:rPr>
              <w:t xml:space="preserve"> SKAIČIUS</w:t>
            </w:r>
          </w:p>
        </w:tc>
      </w:tr>
      <w:tr w:rsidR="00C011DE" w:rsidRPr="009A3B29" w:rsidTr="00DD7B81">
        <w:trPr>
          <w:trHeight w:val="1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1DE" w:rsidRPr="00692D1C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DD7B81">
            <w:pPr>
              <w:ind w:firstLine="0"/>
              <w:jc w:val="center"/>
              <w:rPr>
                <w:sz w:val="20"/>
                <w:lang w:eastAsia="lt-LT"/>
              </w:rPr>
            </w:pPr>
          </w:p>
        </w:tc>
      </w:tr>
      <w:tr w:rsidR="00C011DE" w:rsidRPr="009A3B29" w:rsidTr="00DD7B81">
        <w:trPr>
          <w:trHeight w:val="51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1DE" w:rsidRPr="009A3B29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9A3B29">
              <w:rPr>
                <w:bCs/>
                <w:sz w:val="20"/>
                <w:lang w:eastAsia="lt-LT"/>
              </w:rPr>
              <w:t>Pedagoginių pareigybių skaičius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9A3B29">
              <w:rPr>
                <w:bCs/>
                <w:sz w:val="20"/>
                <w:lang w:eastAsia="lt-LT"/>
              </w:rPr>
              <w:t>Nepedagoginių pareigybių skaičius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  <w:r w:rsidRPr="009A3B29">
              <w:rPr>
                <w:bCs/>
                <w:sz w:val="20"/>
                <w:lang w:eastAsia="lt-LT"/>
              </w:rPr>
              <w:t>Iš viso pareigybių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692D1C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</w:tr>
      <w:tr w:rsidR="00C011DE" w:rsidRPr="009A3B29" w:rsidTr="00DD7B81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1DE" w:rsidRPr="009A3B29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9A3B29">
              <w:rPr>
                <w:bCs/>
                <w:sz w:val="22"/>
                <w:szCs w:val="22"/>
                <w:lang w:eastAsia="lt-LT"/>
              </w:rPr>
              <w:t>10,00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9A3B29">
              <w:rPr>
                <w:bCs/>
                <w:sz w:val="22"/>
                <w:szCs w:val="22"/>
                <w:lang w:eastAsia="lt-LT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9A3B29">
              <w:rPr>
                <w:bCs/>
                <w:sz w:val="22"/>
                <w:szCs w:val="22"/>
                <w:lang w:eastAsia="lt-LT"/>
              </w:rPr>
              <w:t>10,4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C011DE">
            <w:pPr>
              <w:ind w:firstLine="0"/>
              <w:jc w:val="center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692D1C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1DE" w:rsidRPr="009A3B29" w:rsidRDefault="00C011DE" w:rsidP="00C011DE">
            <w:pPr>
              <w:ind w:firstLine="0"/>
              <w:jc w:val="left"/>
              <w:rPr>
                <w:sz w:val="20"/>
                <w:lang w:eastAsia="lt-LT"/>
              </w:rPr>
            </w:pPr>
          </w:p>
        </w:tc>
      </w:tr>
    </w:tbl>
    <w:p w:rsidR="00CD4FBA" w:rsidRDefault="00CD4FBA" w:rsidP="009E22E3">
      <w:pPr>
        <w:tabs>
          <w:tab w:val="left" w:pos="7920"/>
        </w:tabs>
        <w:ind w:firstLine="0"/>
        <w:rPr>
          <w:szCs w:val="24"/>
        </w:rPr>
      </w:pPr>
    </w:p>
    <w:p w:rsidR="00890B80" w:rsidRDefault="00890B80" w:rsidP="009E22E3">
      <w:pPr>
        <w:tabs>
          <w:tab w:val="left" w:pos="7920"/>
        </w:tabs>
        <w:ind w:firstLine="0"/>
        <w:rPr>
          <w:szCs w:val="24"/>
        </w:rPr>
      </w:pPr>
    </w:p>
    <w:p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63367B">
        <w:tab/>
        <w:t>Audrius Klišonis</w:t>
      </w:r>
    </w:p>
    <w:p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90B80" w:rsidRDefault="00890B8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1B6935" w:rsidRDefault="001B6935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34320" w:rsidRDefault="00A3432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A34320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57E" w:rsidRDefault="00FB657E">
      <w:r>
        <w:separator/>
      </w:r>
    </w:p>
  </w:endnote>
  <w:endnote w:type="continuationSeparator" w:id="0">
    <w:p w:rsidR="00FB657E" w:rsidRDefault="00FB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57E" w:rsidRDefault="00FB657E">
      <w:r>
        <w:separator/>
      </w:r>
    </w:p>
  </w:footnote>
  <w:footnote w:type="continuationSeparator" w:id="0">
    <w:p w:rsidR="00FB657E" w:rsidRDefault="00FB6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2065"/>
    <w:rsid w:val="00013D6D"/>
    <w:rsid w:val="00017998"/>
    <w:rsid w:val="00024A2A"/>
    <w:rsid w:val="000257DC"/>
    <w:rsid w:val="00035619"/>
    <w:rsid w:val="0005218E"/>
    <w:rsid w:val="00053C26"/>
    <w:rsid w:val="00063C9F"/>
    <w:rsid w:val="00073271"/>
    <w:rsid w:val="000860DD"/>
    <w:rsid w:val="0009330A"/>
    <w:rsid w:val="000B3909"/>
    <w:rsid w:val="000D1694"/>
    <w:rsid w:val="000E1CA5"/>
    <w:rsid w:val="000E51FC"/>
    <w:rsid w:val="000F2115"/>
    <w:rsid w:val="000F4F52"/>
    <w:rsid w:val="000F6982"/>
    <w:rsid w:val="00100553"/>
    <w:rsid w:val="00107D31"/>
    <w:rsid w:val="00113F9C"/>
    <w:rsid w:val="0012678B"/>
    <w:rsid w:val="0014303E"/>
    <w:rsid w:val="00147F30"/>
    <w:rsid w:val="00151AC2"/>
    <w:rsid w:val="00154E83"/>
    <w:rsid w:val="00164E2C"/>
    <w:rsid w:val="00183976"/>
    <w:rsid w:val="001B6935"/>
    <w:rsid w:val="001D5962"/>
    <w:rsid w:val="001E4CC2"/>
    <w:rsid w:val="00206081"/>
    <w:rsid w:val="00213D4F"/>
    <w:rsid w:val="002203AE"/>
    <w:rsid w:val="00226B40"/>
    <w:rsid w:val="00230EC4"/>
    <w:rsid w:val="00234759"/>
    <w:rsid w:val="00246A11"/>
    <w:rsid w:val="00251182"/>
    <w:rsid w:val="002649C8"/>
    <w:rsid w:val="002724D2"/>
    <w:rsid w:val="002A71EC"/>
    <w:rsid w:val="002D6C45"/>
    <w:rsid w:val="002F1486"/>
    <w:rsid w:val="003162D5"/>
    <w:rsid w:val="00334C42"/>
    <w:rsid w:val="003431B3"/>
    <w:rsid w:val="00343662"/>
    <w:rsid w:val="00347CE4"/>
    <w:rsid w:val="0036249C"/>
    <w:rsid w:val="00375261"/>
    <w:rsid w:val="00383A33"/>
    <w:rsid w:val="00390196"/>
    <w:rsid w:val="003A06A9"/>
    <w:rsid w:val="003A513A"/>
    <w:rsid w:val="003A641F"/>
    <w:rsid w:val="003B554B"/>
    <w:rsid w:val="003C1FB9"/>
    <w:rsid w:val="003C5002"/>
    <w:rsid w:val="003F02EA"/>
    <w:rsid w:val="003F779E"/>
    <w:rsid w:val="00403ED0"/>
    <w:rsid w:val="00417FD8"/>
    <w:rsid w:val="0043065E"/>
    <w:rsid w:val="0043651E"/>
    <w:rsid w:val="004413C1"/>
    <w:rsid w:val="00441F44"/>
    <w:rsid w:val="00442D73"/>
    <w:rsid w:val="00451806"/>
    <w:rsid w:val="00456F1D"/>
    <w:rsid w:val="004710B4"/>
    <w:rsid w:val="004724ED"/>
    <w:rsid w:val="00477D11"/>
    <w:rsid w:val="00481FAA"/>
    <w:rsid w:val="004834E6"/>
    <w:rsid w:val="00484ADE"/>
    <w:rsid w:val="004918D9"/>
    <w:rsid w:val="00495A59"/>
    <w:rsid w:val="004C1018"/>
    <w:rsid w:val="004E11AE"/>
    <w:rsid w:val="004F6194"/>
    <w:rsid w:val="00502587"/>
    <w:rsid w:val="00502720"/>
    <w:rsid w:val="005105F9"/>
    <w:rsid w:val="00536757"/>
    <w:rsid w:val="005369E1"/>
    <w:rsid w:val="0054197E"/>
    <w:rsid w:val="00543572"/>
    <w:rsid w:val="00544250"/>
    <w:rsid w:val="00544EAC"/>
    <w:rsid w:val="00546C2C"/>
    <w:rsid w:val="0055119F"/>
    <w:rsid w:val="0056250C"/>
    <w:rsid w:val="00567E94"/>
    <w:rsid w:val="00584829"/>
    <w:rsid w:val="00590FDB"/>
    <w:rsid w:val="00591809"/>
    <w:rsid w:val="0059284C"/>
    <w:rsid w:val="00596235"/>
    <w:rsid w:val="005964F6"/>
    <w:rsid w:val="005B05D0"/>
    <w:rsid w:val="005B4FEF"/>
    <w:rsid w:val="005C1C83"/>
    <w:rsid w:val="005D0AA4"/>
    <w:rsid w:val="005D4FE1"/>
    <w:rsid w:val="005E7503"/>
    <w:rsid w:val="005F2DE3"/>
    <w:rsid w:val="00617DDF"/>
    <w:rsid w:val="006218B1"/>
    <w:rsid w:val="00632A68"/>
    <w:rsid w:val="0063367B"/>
    <w:rsid w:val="00657C83"/>
    <w:rsid w:val="006738EE"/>
    <w:rsid w:val="0067723D"/>
    <w:rsid w:val="00692D1C"/>
    <w:rsid w:val="006A7FC1"/>
    <w:rsid w:val="006B532D"/>
    <w:rsid w:val="006C478D"/>
    <w:rsid w:val="006D0079"/>
    <w:rsid w:val="006D30D5"/>
    <w:rsid w:val="006E097E"/>
    <w:rsid w:val="006E6607"/>
    <w:rsid w:val="006F2209"/>
    <w:rsid w:val="006F40BE"/>
    <w:rsid w:val="006F76F0"/>
    <w:rsid w:val="00703AD2"/>
    <w:rsid w:val="00704C16"/>
    <w:rsid w:val="00705E58"/>
    <w:rsid w:val="00714987"/>
    <w:rsid w:val="00722E7A"/>
    <w:rsid w:val="00743744"/>
    <w:rsid w:val="0075155A"/>
    <w:rsid w:val="00763E8A"/>
    <w:rsid w:val="00786BF2"/>
    <w:rsid w:val="007A7A71"/>
    <w:rsid w:val="007F10F5"/>
    <w:rsid w:val="00807F10"/>
    <w:rsid w:val="00814779"/>
    <w:rsid w:val="00826D1E"/>
    <w:rsid w:val="008312DB"/>
    <w:rsid w:val="00834FDA"/>
    <w:rsid w:val="008369E7"/>
    <w:rsid w:val="00865CFF"/>
    <w:rsid w:val="00882624"/>
    <w:rsid w:val="00890B80"/>
    <w:rsid w:val="00895C9F"/>
    <w:rsid w:val="008A34F9"/>
    <w:rsid w:val="008A6812"/>
    <w:rsid w:val="008B61F5"/>
    <w:rsid w:val="008B72A2"/>
    <w:rsid w:val="008B76F9"/>
    <w:rsid w:val="008D1953"/>
    <w:rsid w:val="008F105B"/>
    <w:rsid w:val="00900B3C"/>
    <w:rsid w:val="00911151"/>
    <w:rsid w:val="009210C8"/>
    <w:rsid w:val="00921BA1"/>
    <w:rsid w:val="009258FD"/>
    <w:rsid w:val="00925EC9"/>
    <w:rsid w:val="009355AE"/>
    <w:rsid w:val="00956543"/>
    <w:rsid w:val="00957BCA"/>
    <w:rsid w:val="00987F99"/>
    <w:rsid w:val="00992CA7"/>
    <w:rsid w:val="009A3B29"/>
    <w:rsid w:val="009B1797"/>
    <w:rsid w:val="009B76EC"/>
    <w:rsid w:val="009C2CD4"/>
    <w:rsid w:val="009C6303"/>
    <w:rsid w:val="009C6CBC"/>
    <w:rsid w:val="009D1139"/>
    <w:rsid w:val="009E1552"/>
    <w:rsid w:val="009E22E3"/>
    <w:rsid w:val="009F138B"/>
    <w:rsid w:val="00A00068"/>
    <w:rsid w:val="00A066AC"/>
    <w:rsid w:val="00A11141"/>
    <w:rsid w:val="00A13A46"/>
    <w:rsid w:val="00A17855"/>
    <w:rsid w:val="00A34320"/>
    <w:rsid w:val="00A44577"/>
    <w:rsid w:val="00A465B2"/>
    <w:rsid w:val="00A56FDA"/>
    <w:rsid w:val="00A70AF4"/>
    <w:rsid w:val="00A71D72"/>
    <w:rsid w:val="00A8740F"/>
    <w:rsid w:val="00AA2B97"/>
    <w:rsid w:val="00AB0631"/>
    <w:rsid w:val="00AB40C9"/>
    <w:rsid w:val="00AC0DE8"/>
    <w:rsid w:val="00AC1AB6"/>
    <w:rsid w:val="00AC462B"/>
    <w:rsid w:val="00AC5852"/>
    <w:rsid w:val="00AD484F"/>
    <w:rsid w:val="00AE1CCD"/>
    <w:rsid w:val="00AE2F93"/>
    <w:rsid w:val="00B32BA7"/>
    <w:rsid w:val="00B46F4E"/>
    <w:rsid w:val="00B508F0"/>
    <w:rsid w:val="00B526D7"/>
    <w:rsid w:val="00B5355C"/>
    <w:rsid w:val="00B96C7F"/>
    <w:rsid w:val="00BA470A"/>
    <w:rsid w:val="00BA4EF2"/>
    <w:rsid w:val="00BA6BCB"/>
    <w:rsid w:val="00BA7521"/>
    <w:rsid w:val="00BD53C4"/>
    <w:rsid w:val="00BE4690"/>
    <w:rsid w:val="00BF0F9B"/>
    <w:rsid w:val="00BF3C4F"/>
    <w:rsid w:val="00BF5E82"/>
    <w:rsid w:val="00BF67DB"/>
    <w:rsid w:val="00BF6C35"/>
    <w:rsid w:val="00C011DE"/>
    <w:rsid w:val="00C0584D"/>
    <w:rsid w:val="00C24CAE"/>
    <w:rsid w:val="00C26B1A"/>
    <w:rsid w:val="00C45915"/>
    <w:rsid w:val="00C47C04"/>
    <w:rsid w:val="00C664B5"/>
    <w:rsid w:val="00C90CCB"/>
    <w:rsid w:val="00CC3523"/>
    <w:rsid w:val="00CC5007"/>
    <w:rsid w:val="00CD4FBA"/>
    <w:rsid w:val="00CF6BFC"/>
    <w:rsid w:val="00D01F6E"/>
    <w:rsid w:val="00D161C2"/>
    <w:rsid w:val="00D20AAF"/>
    <w:rsid w:val="00D43247"/>
    <w:rsid w:val="00D54BD7"/>
    <w:rsid w:val="00D7621D"/>
    <w:rsid w:val="00D81E12"/>
    <w:rsid w:val="00D9455E"/>
    <w:rsid w:val="00D9569C"/>
    <w:rsid w:val="00DB552D"/>
    <w:rsid w:val="00DC2FD3"/>
    <w:rsid w:val="00DD58A4"/>
    <w:rsid w:val="00DD7B81"/>
    <w:rsid w:val="00DE44C7"/>
    <w:rsid w:val="00DE570B"/>
    <w:rsid w:val="00E00A69"/>
    <w:rsid w:val="00E05328"/>
    <w:rsid w:val="00E47A32"/>
    <w:rsid w:val="00E60A59"/>
    <w:rsid w:val="00E67F2B"/>
    <w:rsid w:val="00E70105"/>
    <w:rsid w:val="00E705F8"/>
    <w:rsid w:val="00E71D12"/>
    <w:rsid w:val="00E76498"/>
    <w:rsid w:val="00E76EE9"/>
    <w:rsid w:val="00E83324"/>
    <w:rsid w:val="00E90591"/>
    <w:rsid w:val="00E9071A"/>
    <w:rsid w:val="00EB7A60"/>
    <w:rsid w:val="00ED6DA0"/>
    <w:rsid w:val="00EE3076"/>
    <w:rsid w:val="00F26875"/>
    <w:rsid w:val="00F31FC8"/>
    <w:rsid w:val="00F36567"/>
    <w:rsid w:val="00F40A98"/>
    <w:rsid w:val="00F4104E"/>
    <w:rsid w:val="00F443E1"/>
    <w:rsid w:val="00F60B65"/>
    <w:rsid w:val="00F62D55"/>
    <w:rsid w:val="00F66FD0"/>
    <w:rsid w:val="00F8014A"/>
    <w:rsid w:val="00FA7F3D"/>
    <w:rsid w:val="00FB657E"/>
    <w:rsid w:val="00FC5DE8"/>
    <w:rsid w:val="00FF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9DB497AB</Template>
  <TotalTime>15</TotalTime>
  <Pages>2</Pages>
  <Words>283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15</cp:revision>
  <cp:lastPrinted>2018-10-23T08:21:00Z</cp:lastPrinted>
  <dcterms:created xsi:type="dcterms:W3CDTF">2021-06-04T08:23:00Z</dcterms:created>
  <dcterms:modified xsi:type="dcterms:W3CDTF">2021-06-23T12:38:00Z</dcterms:modified>
</cp:coreProperties>
</file>