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8B8" w:rsidRPr="007B50AA" w:rsidRDefault="003578B8" w:rsidP="002640A7">
      <w:pPr>
        <w:keepNext/>
        <w:spacing w:after="120" w:line="240" w:lineRule="auto"/>
        <w:jc w:val="center"/>
        <w:outlineLvl w:val="0"/>
        <w:rPr>
          <w:rFonts w:eastAsia="Times New Roman" w:cs="Times New Roman"/>
          <w:b/>
          <w:bCs/>
          <w:sz w:val="24"/>
          <w:szCs w:val="24"/>
        </w:rPr>
      </w:pPr>
      <w:r w:rsidRPr="007B50AA">
        <w:rPr>
          <w:rFonts w:eastAsiaTheme="majorEastAsia" w:cstheme="majorBidi"/>
          <w:b/>
          <w:bCs/>
          <w:noProof/>
          <w:color w:val="4F81BD" w:themeColor="accent1"/>
          <w:sz w:val="24"/>
          <w:szCs w:val="24"/>
          <w:lang w:eastAsia="lt-LT"/>
        </w:rPr>
        <w:drawing>
          <wp:anchor distT="0" distB="0" distL="114300" distR="114300" simplePos="0" relativeHeight="251660288" behindDoc="1" locked="0" layoutInCell="1" allowOverlap="1" wp14:anchorId="03D74AB0" wp14:editId="75590645">
            <wp:simplePos x="0" y="0"/>
            <wp:positionH relativeFrom="column">
              <wp:posOffset>224790</wp:posOffset>
            </wp:positionH>
            <wp:positionV relativeFrom="paragraph">
              <wp:posOffset>-329565</wp:posOffset>
            </wp:positionV>
            <wp:extent cx="1950720" cy="101854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1018540"/>
                    </a:xfrm>
                    <a:prstGeom prst="rect">
                      <a:avLst/>
                    </a:prstGeom>
                    <a:noFill/>
                  </pic:spPr>
                </pic:pic>
              </a:graphicData>
            </a:graphic>
            <wp14:sizeRelH relativeFrom="margin">
              <wp14:pctWidth>0</wp14:pctWidth>
            </wp14:sizeRelH>
            <wp14:sizeRelV relativeFrom="margin">
              <wp14:pctHeight>0</wp14:pctHeight>
            </wp14:sizeRelV>
          </wp:anchor>
        </w:drawing>
      </w:r>
      <w:r w:rsidR="001839CC" w:rsidRPr="007B50AA">
        <w:rPr>
          <w:rFonts w:eastAsia="Times New Roman" w:cs="Times New Roman"/>
          <w:b/>
          <w:bCs/>
          <w:sz w:val="24"/>
          <w:szCs w:val="24"/>
        </w:rPr>
        <w:t xml:space="preserve">                      </w:t>
      </w:r>
      <w:r w:rsidR="00EF0063" w:rsidRPr="007B50AA">
        <w:rPr>
          <w:rFonts w:eastAsia="Times New Roman" w:cs="Times New Roman"/>
          <w:b/>
          <w:bCs/>
          <w:sz w:val="24"/>
          <w:szCs w:val="24"/>
        </w:rPr>
        <w:t xml:space="preserve">                    </w:t>
      </w:r>
      <w:r w:rsidRPr="007B50AA">
        <w:rPr>
          <w:rFonts w:eastAsia="Times New Roman" w:cs="Times New Roman"/>
          <w:b/>
          <w:bCs/>
          <w:sz w:val="24"/>
          <w:szCs w:val="24"/>
        </w:rPr>
        <w:t>UAB „PLUNGĖS ŠILUMOS TINKLAI“</w:t>
      </w:r>
    </w:p>
    <w:p w:rsidR="003578B8" w:rsidRPr="007B50AA" w:rsidRDefault="003578B8" w:rsidP="002640A7">
      <w:pPr>
        <w:keepNext/>
        <w:spacing w:after="120" w:line="240" w:lineRule="auto"/>
        <w:jc w:val="center"/>
        <w:outlineLvl w:val="0"/>
        <w:rPr>
          <w:rFonts w:eastAsia="Times New Roman" w:cs="Times New Roman"/>
          <w:b/>
          <w:bCs/>
          <w:sz w:val="24"/>
          <w:szCs w:val="24"/>
        </w:rPr>
      </w:pPr>
    </w:p>
    <w:p w:rsidR="004C311A" w:rsidRPr="007B50AA" w:rsidRDefault="004C311A" w:rsidP="00B848C7">
      <w:pPr>
        <w:spacing w:after="0" w:line="240" w:lineRule="auto"/>
        <w:jc w:val="both"/>
        <w:rPr>
          <w:rFonts w:ascii="Arial" w:hAnsi="Arial" w:cs="Arial"/>
          <w:b/>
          <w:bCs/>
        </w:rPr>
      </w:pPr>
    </w:p>
    <w:p w:rsidR="00B848C7" w:rsidRPr="007B50AA" w:rsidRDefault="000956FB" w:rsidP="00C14E2C">
      <w:pPr>
        <w:pStyle w:val="Sraopastraipa"/>
        <w:numPr>
          <w:ilvl w:val="0"/>
          <w:numId w:val="16"/>
        </w:numPr>
        <w:tabs>
          <w:tab w:val="left" w:pos="426"/>
        </w:tabs>
        <w:spacing w:after="0" w:line="240" w:lineRule="auto"/>
        <w:ind w:left="0" w:firstLine="0"/>
        <w:jc w:val="both"/>
        <w:rPr>
          <w:rFonts w:ascii="Arial" w:hAnsi="Arial" w:cs="Arial"/>
        </w:rPr>
      </w:pPr>
      <w:r w:rsidRPr="007B50AA">
        <w:rPr>
          <w:rFonts w:ascii="Arial" w:hAnsi="Arial" w:cs="Arial"/>
          <w:b/>
          <w:bCs/>
        </w:rPr>
        <w:t xml:space="preserve">Plungės rajono savivaldybės </w:t>
      </w:r>
      <w:r w:rsidR="00C14E2C" w:rsidRPr="007B50AA">
        <w:rPr>
          <w:rFonts w:ascii="Arial" w:hAnsi="Arial" w:cs="Arial"/>
          <w:b/>
          <w:bCs/>
        </w:rPr>
        <w:t>tarybai</w:t>
      </w:r>
      <w:r w:rsidR="00B848C7" w:rsidRPr="007B50AA">
        <w:rPr>
          <w:rFonts w:ascii="Arial" w:hAnsi="Arial" w:cs="Arial"/>
        </w:rPr>
        <w:t xml:space="preserve">     </w:t>
      </w:r>
      <w:r w:rsidR="00C14E2C" w:rsidRPr="007B50AA">
        <w:rPr>
          <w:rFonts w:ascii="Arial" w:hAnsi="Arial" w:cs="Arial"/>
        </w:rPr>
        <w:tab/>
      </w:r>
      <w:r w:rsidR="00C14E2C" w:rsidRPr="007B50AA">
        <w:rPr>
          <w:rFonts w:ascii="Arial" w:hAnsi="Arial" w:cs="Arial"/>
        </w:rPr>
        <w:tab/>
      </w:r>
      <w:r w:rsidR="00293970" w:rsidRPr="007B50AA">
        <w:rPr>
          <w:rFonts w:ascii="Arial" w:hAnsi="Arial" w:cs="Arial"/>
        </w:rPr>
        <w:t>202</w:t>
      </w:r>
      <w:r w:rsidR="000E465C">
        <w:rPr>
          <w:rFonts w:ascii="Arial" w:hAnsi="Arial" w:cs="Arial"/>
        </w:rPr>
        <w:t>2</w:t>
      </w:r>
      <w:r w:rsidR="00293970" w:rsidRPr="007B50AA">
        <w:rPr>
          <w:rFonts w:ascii="Arial" w:hAnsi="Arial" w:cs="Arial"/>
        </w:rPr>
        <w:t>-0</w:t>
      </w:r>
      <w:r w:rsidR="00A60403" w:rsidRPr="007B50AA">
        <w:rPr>
          <w:rFonts w:ascii="Arial" w:hAnsi="Arial" w:cs="Arial"/>
        </w:rPr>
        <w:t>9</w:t>
      </w:r>
      <w:r w:rsidR="00293970" w:rsidRPr="007B50AA">
        <w:rPr>
          <w:rFonts w:ascii="Arial" w:hAnsi="Arial" w:cs="Arial"/>
        </w:rPr>
        <w:t>-</w:t>
      </w:r>
      <w:r w:rsidR="000E465C">
        <w:rPr>
          <w:rFonts w:ascii="Arial" w:hAnsi="Arial" w:cs="Arial"/>
        </w:rPr>
        <w:t>07</w:t>
      </w:r>
      <w:r w:rsidR="00293970" w:rsidRPr="007B50AA">
        <w:rPr>
          <w:rFonts w:ascii="Arial" w:hAnsi="Arial" w:cs="Arial"/>
        </w:rPr>
        <w:t>, Plungė Nr.S</w:t>
      </w:r>
      <w:r w:rsidR="0058100F" w:rsidRPr="007B50AA">
        <w:rPr>
          <w:rFonts w:ascii="Arial" w:hAnsi="Arial" w:cs="Arial"/>
        </w:rPr>
        <w:t>D</w:t>
      </w:r>
      <w:r w:rsidR="00AF4E48">
        <w:rPr>
          <w:rFonts w:ascii="Arial" w:hAnsi="Arial" w:cs="Arial"/>
        </w:rPr>
        <w:t>-105</w:t>
      </w:r>
    </w:p>
    <w:p w:rsidR="00B848C7" w:rsidRPr="007B50AA" w:rsidRDefault="00B848C7" w:rsidP="00B848C7">
      <w:pPr>
        <w:spacing w:after="0" w:line="240" w:lineRule="auto"/>
        <w:jc w:val="both"/>
        <w:rPr>
          <w:rFonts w:ascii="Arial" w:hAnsi="Arial" w:cs="Arial"/>
        </w:rPr>
      </w:pPr>
      <w:r w:rsidRPr="007B50AA">
        <w:rPr>
          <w:rFonts w:ascii="Arial" w:hAnsi="Arial" w:cs="Arial"/>
        </w:rPr>
        <w:t>El.p</w:t>
      </w:r>
      <w:r w:rsidR="00336338" w:rsidRPr="007B50AA">
        <w:rPr>
          <w:rFonts w:ascii="Arial" w:hAnsi="Arial" w:cs="Arial"/>
        </w:rPr>
        <w:t>:</w:t>
      </w:r>
      <w:r w:rsidR="00C14E2C" w:rsidRPr="007B50AA">
        <w:rPr>
          <w:rFonts w:ascii="Arial" w:hAnsi="Arial" w:cs="Arial"/>
        </w:rPr>
        <w:t xml:space="preserve"> </w:t>
      </w:r>
      <w:hyperlink r:id="rId10" w:history="1">
        <w:r w:rsidR="00C14E2C" w:rsidRPr="007B50AA">
          <w:rPr>
            <w:rStyle w:val="Hipersaitas"/>
            <w:rFonts w:ascii="Arial" w:hAnsi="Arial" w:cs="Arial"/>
          </w:rPr>
          <w:t>savivaldybe@plunge.lt</w:t>
        </w:r>
      </w:hyperlink>
      <w:r w:rsidR="00C14E2C" w:rsidRPr="007B50AA">
        <w:rPr>
          <w:rFonts w:ascii="Arial" w:hAnsi="Arial" w:cs="Arial"/>
        </w:rPr>
        <w:t xml:space="preserve"> </w:t>
      </w:r>
      <w:r w:rsidR="00336338" w:rsidRPr="007B50AA">
        <w:rPr>
          <w:rFonts w:ascii="Arial" w:hAnsi="Arial" w:cs="Arial"/>
        </w:rPr>
        <w:t xml:space="preserve"> </w:t>
      </w:r>
      <w:r w:rsidR="00C14E2C" w:rsidRPr="007B50AA">
        <w:rPr>
          <w:rFonts w:ascii="Arial" w:hAnsi="Arial" w:cs="Arial"/>
        </w:rPr>
        <w:t xml:space="preserve">  </w:t>
      </w:r>
    </w:p>
    <w:p w:rsidR="00C14E2C" w:rsidRPr="007B50AA" w:rsidRDefault="00C14E2C" w:rsidP="00B848C7">
      <w:pPr>
        <w:spacing w:after="0" w:line="240" w:lineRule="auto"/>
        <w:jc w:val="both"/>
        <w:rPr>
          <w:rFonts w:ascii="Arial" w:hAnsi="Arial" w:cs="Arial"/>
        </w:rPr>
      </w:pPr>
    </w:p>
    <w:p w:rsidR="00C14E2C" w:rsidRPr="007B50AA" w:rsidRDefault="00C14E2C" w:rsidP="00C14E2C">
      <w:pPr>
        <w:pStyle w:val="Sraopastraipa"/>
        <w:numPr>
          <w:ilvl w:val="0"/>
          <w:numId w:val="16"/>
        </w:numPr>
        <w:tabs>
          <w:tab w:val="left" w:pos="426"/>
        </w:tabs>
        <w:spacing w:after="0" w:line="240" w:lineRule="auto"/>
        <w:ind w:left="0" w:firstLine="0"/>
        <w:jc w:val="both"/>
        <w:rPr>
          <w:rFonts w:ascii="Arial" w:hAnsi="Arial" w:cs="Arial"/>
          <w:b/>
          <w:bCs/>
        </w:rPr>
      </w:pPr>
      <w:r w:rsidRPr="007B50AA">
        <w:rPr>
          <w:rFonts w:ascii="Arial" w:hAnsi="Arial" w:cs="Arial"/>
          <w:b/>
          <w:bCs/>
        </w:rPr>
        <w:t>Plungės rajono savivaldybės administracijos direktoriui</w:t>
      </w:r>
    </w:p>
    <w:p w:rsidR="00C14E2C" w:rsidRPr="007B50AA" w:rsidRDefault="00C14E2C" w:rsidP="00B848C7">
      <w:pPr>
        <w:spacing w:after="0" w:line="240" w:lineRule="auto"/>
        <w:jc w:val="both"/>
        <w:rPr>
          <w:rFonts w:ascii="Arial" w:hAnsi="Arial" w:cs="Arial"/>
        </w:rPr>
      </w:pPr>
      <w:r w:rsidRPr="007B50AA">
        <w:rPr>
          <w:rFonts w:ascii="Arial" w:hAnsi="Arial" w:cs="Arial"/>
        </w:rPr>
        <w:t xml:space="preserve">El.p. </w:t>
      </w:r>
      <w:hyperlink r:id="rId11" w:history="1">
        <w:r w:rsidRPr="007B50AA">
          <w:rPr>
            <w:rStyle w:val="Hipersaitas"/>
            <w:rFonts w:ascii="Arial" w:hAnsi="Arial" w:cs="Arial"/>
          </w:rPr>
          <w:t>direktorius@plunge.lt</w:t>
        </w:r>
      </w:hyperlink>
      <w:r w:rsidRPr="007B50AA">
        <w:rPr>
          <w:rFonts w:ascii="Arial" w:hAnsi="Arial" w:cs="Arial"/>
        </w:rPr>
        <w:t xml:space="preserve"> </w:t>
      </w:r>
    </w:p>
    <w:p w:rsidR="004C311A" w:rsidRPr="007B50AA" w:rsidRDefault="004C311A" w:rsidP="00283566">
      <w:pPr>
        <w:spacing w:after="0" w:line="240" w:lineRule="auto"/>
        <w:jc w:val="both"/>
        <w:rPr>
          <w:rFonts w:ascii="Arial" w:hAnsi="Arial" w:cs="Arial"/>
          <w:b/>
          <w:bCs/>
          <w:caps/>
        </w:rPr>
      </w:pPr>
    </w:p>
    <w:p w:rsidR="00B848C7" w:rsidRPr="007B50AA" w:rsidRDefault="00CD43D1" w:rsidP="00283566">
      <w:pPr>
        <w:spacing w:after="0" w:line="240" w:lineRule="auto"/>
        <w:jc w:val="both"/>
        <w:rPr>
          <w:rFonts w:ascii="Arial" w:hAnsi="Arial" w:cs="Arial"/>
          <w:b/>
          <w:bCs/>
          <w:caps/>
        </w:rPr>
      </w:pPr>
      <w:r w:rsidRPr="007B50AA">
        <w:rPr>
          <w:rFonts w:ascii="Arial" w:hAnsi="Arial" w:cs="Arial"/>
          <w:b/>
          <w:bCs/>
          <w:caps/>
        </w:rPr>
        <w:t xml:space="preserve">Dėl </w:t>
      </w:r>
      <w:r w:rsidR="00C14E2C" w:rsidRPr="007B50AA">
        <w:rPr>
          <w:rFonts w:ascii="Arial" w:hAnsi="Arial" w:cs="Arial"/>
          <w:b/>
          <w:bCs/>
          <w:caps/>
        </w:rPr>
        <w:t>UAB „Plungės šilumos tinklai“ pasirengimo 202</w:t>
      </w:r>
      <w:r w:rsidR="00E670C5">
        <w:rPr>
          <w:rFonts w:ascii="Arial" w:hAnsi="Arial" w:cs="Arial"/>
          <w:b/>
          <w:bCs/>
          <w:caps/>
        </w:rPr>
        <w:t>2</w:t>
      </w:r>
      <w:r w:rsidR="00C14E2C" w:rsidRPr="007B50AA">
        <w:rPr>
          <w:rFonts w:ascii="Arial" w:hAnsi="Arial" w:cs="Arial"/>
          <w:b/>
          <w:bCs/>
          <w:caps/>
        </w:rPr>
        <w:t>/202</w:t>
      </w:r>
      <w:r w:rsidR="00E670C5">
        <w:rPr>
          <w:rFonts w:ascii="Arial" w:hAnsi="Arial" w:cs="Arial"/>
          <w:b/>
          <w:bCs/>
          <w:caps/>
        </w:rPr>
        <w:t>3</w:t>
      </w:r>
      <w:r w:rsidR="00C14E2C" w:rsidRPr="007B50AA">
        <w:rPr>
          <w:rFonts w:ascii="Arial" w:hAnsi="Arial" w:cs="Arial"/>
          <w:b/>
          <w:bCs/>
          <w:caps/>
        </w:rPr>
        <w:t xml:space="preserve"> metų šildymo sezonui</w:t>
      </w:r>
    </w:p>
    <w:p w:rsidR="000956FB" w:rsidRPr="007B50AA" w:rsidRDefault="000956FB" w:rsidP="00283566">
      <w:pPr>
        <w:spacing w:after="0" w:line="240" w:lineRule="auto"/>
        <w:jc w:val="both"/>
        <w:rPr>
          <w:rFonts w:ascii="Arial" w:hAnsi="Arial" w:cs="Arial"/>
          <w:b/>
          <w:bCs/>
          <w:caps/>
        </w:rPr>
      </w:pPr>
    </w:p>
    <w:p w:rsidR="00B308C0" w:rsidRPr="007B50AA" w:rsidRDefault="00CD43D1" w:rsidP="001B7B01">
      <w:pPr>
        <w:spacing w:after="120" w:line="240" w:lineRule="auto"/>
        <w:jc w:val="both"/>
        <w:rPr>
          <w:rFonts w:ascii="Arial" w:hAnsi="Arial" w:cs="Arial"/>
        </w:rPr>
      </w:pPr>
      <w:r w:rsidRPr="007B50AA">
        <w:rPr>
          <w:rFonts w:ascii="Arial" w:hAnsi="Arial" w:cs="Arial"/>
        </w:rPr>
        <w:t xml:space="preserve">UAB „Plungės šilumos tinklai“ (toliau – </w:t>
      </w:r>
      <w:r w:rsidRPr="007B50AA">
        <w:rPr>
          <w:rFonts w:ascii="Arial" w:hAnsi="Arial" w:cs="Arial"/>
          <w:b/>
          <w:bCs/>
        </w:rPr>
        <w:t>Bendrovė</w:t>
      </w:r>
      <w:r w:rsidRPr="007B50AA">
        <w:rPr>
          <w:rFonts w:ascii="Arial" w:hAnsi="Arial" w:cs="Arial"/>
        </w:rPr>
        <w:t>)</w:t>
      </w:r>
      <w:r w:rsidR="00B308C0" w:rsidRPr="007B50AA">
        <w:rPr>
          <w:rFonts w:ascii="Arial" w:hAnsi="Arial" w:cs="Arial"/>
        </w:rPr>
        <w:t xml:space="preserve"> eksploatuoja 1</w:t>
      </w:r>
      <w:r w:rsidR="005F3E88">
        <w:rPr>
          <w:rFonts w:ascii="Arial" w:hAnsi="Arial" w:cs="Arial"/>
        </w:rPr>
        <w:t>6</w:t>
      </w:r>
      <w:r w:rsidR="00B308C0" w:rsidRPr="007B50AA">
        <w:rPr>
          <w:rFonts w:ascii="Arial" w:hAnsi="Arial" w:cs="Arial"/>
        </w:rPr>
        <w:t xml:space="preserve"> šilumos gamybos šaltinių, iš kurių 2 yra Plungės mieste,</w:t>
      </w:r>
      <w:r w:rsidR="00A60403" w:rsidRPr="007B50AA">
        <w:rPr>
          <w:rFonts w:ascii="Arial" w:hAnsi="Arial" w:cs="Arial"/>
        </w:rPr>
        <w:t xml:space="preserve"> Mačernio ir Lentpjūvės g. katilinėse,</w:t>
      </w:r>
      <w:r w:rsidR="00B308C0" w:rsidRPr="007B50AA">
        <w:rPr>
          <w:rFonts w:ascii="Arial" w:hAnsi="Arial" w:cs="Arial"/>
        </w:rPr>
        <w:t xml:space="preserve"> o likę – Plungės rajone. </w:t>
      </w:r>
      <w:bookmarkStart w:id="0" w:name="_Hlk81988896"/>
      <w:r w:rsidR="00B308C0" w:rsidRPr="007B50AA">
        <w:rPr>
          <w:rFonts w:ascii="Arial" w:hAnsi="Arial" w:cs="Arial"/>
        </w:rPr>
        <w:t xml:space="preserve">Bendra eksploatuojamų energijos šaltinių instaliuota galia – </w:t>
      </w:r>
      <w:r w:rsidR="00FD6B35">
        <w:rPr>
          <w:rFonts w:ascii="Arial" w:hAnsi="Arial" w:cs="Arial"/>
        </w:rPr>
        <w:t>35,53</w:t>
      </w:r>
      <w:r w:rsidR="00B308C0" w:rsidRPr="007B50AA">
        <w:rPr>
          <w:rFonts w:ascii="Arial" w:hAnsi="Arial" w:cs="Arial"/>
        </w:rPr>
        <w:t xml:space="preserve"> MW. Bendrovė centralizuota tiekimo sistema šilumą tiekia </w:t>
      </w:r>
      <w:bookmarkStart w:id="1" w:name="_Hlk113432339"/>
      <w:r w:rsidR="00B308C0" w:rsidRPr="007B50AA">
        <w:rPr>
          <w:rFonts w:ascii="Arial" w:hAnsi="Arial" w:cs="Arial"/>
        </w:rPr>
        <w:t>5</w:t>
      </w:r>
      <w:r w:rsidR="00304F34">
        <w:rPr>
          <w:rFonts w:ascii="Arial" w:hAnsi="Arial" w:cs="Arial"/>
        </w:rPr>
        <w:t> </w:t>
      </w:r>
      <w:bookmarkEnd w:id="1"/>
      <w:r w:rsidR="00304F34">
        <w:rPr>
          <w:rFonts w:ascii="Arial" w:hAnsi="Arial" w:cs="Arial"/>
        </w:rPr>
        <w:t xml:space="preserve">600 </w:t>
      </w:r>
      <w:r w:rsidR="00B308C0" w:rsidRPr="007B50AA">
        <w:rPr>
          <w:rFonts w:ascii="Arial" w:hAnsi="Arial" w:cs="Arial"/>
        </w:rPr>
        <w:t>butams daugiabučiuose, 37 biudžetinėms įstaigoms, 8</w:t>
      </w:r>
      <w:r w:rsidR="00304F34">
        <w:rPr>
          <w:rFonts w:ascii="Arial" w:hAnsi="Arial" w:cs="Arial"/>
        </w:rPr>
        <w:t>3</w:t>
      </w:r>
      <w:r w:rsidR="00B308C0" w:rsidRPr="007B50AA">
        <w:rPr>
          <w:rFonts w:ascii="Arial" w:hAnsi="Arial" w:cs="Arial"/>
        </w:rPr>
        <w:t xml:space="preserve"> verslo ir  kitiems vartotojams bei 4</w:t>
      </w:r>
      <w:r w:rsidR="00D32BD5" w:rsidRPr="007B50AA">
        <w:rPr>
          <w:rFonts w:ascii="Arial" w:hAnsi="Arial" w:cs="Arial"/>
        </w:rPr>
        <w:t>4</w:t>
      </w:r>
      <w:r w:rsidR="00B308C0" w:rsidRPr="007B50AA">
        <w:rPr>
          <w:rFonts w:ascii="Arial" w:hAnsi="Arial" w:cs="Arial"/>
        </w:rPr>
        <w:t xml:space="preserve"> individualiems namams.</w:t>
      </w:r>
      <w:r w:rsidR="00D32BD5" w:rsidRPr="007B50AA">
        <w:rPr>
          <w:rFonts w:ascii="Arial" w:hAnsi="Arial" w:cs="Arial"/>
        </w:rPr>
        <w:t xml:space="preserve"> </w:t>
      </w:r>
    </w:p>
    <w:bookmarkEnd w:id="0"/>
    <w:p w:rsidR="00B308C0" w:rsidRPr="007B69DF" w:rsidRDefault="00CA3A9E" w:rsidP="001B7B01">
      <w:pPr>
        <w:spacing w:after="120" w:line="240" w:lineRule="auto"/>
        <w:jc w:val="both"/>
        <w:rPr>
          <w:rFonts w:ascii="Arial" w:hAnsi="Arial" w:cs="Arial"/>
        </w:rPr>
      </w:pPr>
      <w:r w:rsidRPr="007B69DF">
        <w:rPr>
          <w:rFonts w:ascii="Arial" w:hAnsi="Arial" w:cs="Arial"/>
        </w:rPr>
        <w:t xml:space="preserve">Bendrovės </w:t>
      </w:r>
      <w:r w:rsidR="00B308C0" w:rsidRPr="007B69DF">
        <w:rPr>
          <w:rFonts w:ascii="Arial" w:hAnsi="Arial" w:cs="Arial"/>
        </w:rPr>
        <w:t>pasiruošimą 202</w:t>
      </w:r>
      <w:r w:rsidR="00E670C5" w:rsidRPr="007B69DF">
        <w:rPr>
          <w:rFonts w:ascii="Arial" w:hAnsi="Arial" w:cs="Arial"/>
        </w:rPr>
        <w:t>2</w:t>
      </w:r>
      <w:r w:rsidR="00B308C0" w:rsidRPr="007B69DF">
        <w:rPr>
          <w:rFonts w:ascii="Arial" w:hAnsi="Arial" w:cs="Arial"/>
        </w:rPr>
        <w:t>/202</w:t>
      </w:r>
      <w:r w:rsidR="00E670C5" w:rsidRPr="007B69DF">
        <w:rPr>
          <w:rFonts w:ascii="Arial" w:hAnsi="Arial" w:cs="Arial"/>
        </w:rPr>
        <w:t>3</w:t>
      </w:r>
      <w:r w:rsidR="00B308C0" w:rsidRPr="007B69DF">
        <w:rPr>
          <w:rFonts w:ascii="Arial" w:hAnsi="Arial" w:cs="Arial"/>
        </w:rPr>
        <w:t xml:space="preserve"> metų šildymo sezonui galima suskirstyti į </w:t>
      </w:r>
      <w:r w:rsidR="005F3E88" w:rsidRPr="007B69DF">
        <w:rPr>
          <w:rFonts w:ascii="Arial" w:hAnsi="Arial" w:cs="Arial"/>
        </w:rPr>
        <w:t>šešis</w:t>
      </w:r>
      <w:r w:rsidRPr="007B69DF">
        <w:rPr>
          <w:rFonts w:ascii="Arial" w:hAnsi="Arial" w:cs="Arial"/>
        </w:rPr>
        <w:t xml:space="preserve"> </w:t>
      </w:r>
      <w:r w:rsidR="00B308C0" w:rsidRPr="007B69DF">
        <w:rPr>
          <w:rFonts w:ascii="Arial" w:hAnsi="Arial" w:cs="Arial"/>
        </w:rPr>
        <w:t>svarbiausius etapus:</w:t>
      </w:r>
      <w:r w:rsidRPr="007B69DF">
        <w:rPr>
          <w:rFonts w:ascii="Arial" w:hAnsi="Arial" w:cs="Arial"/>
        </w:rPr>
        <w:t xml:space="preserve"> (</w:t>
      </w:r>
      <w:r w:rsidR="00B638A8">
        <w:rPr>
          <w:rFonts w:ascii="Arial" w:hAnsi="Arial" w:cs="Arial"/>
        </w:rPr>
        <w:t>I</w:t>
      </w:r>
      <w:r w:rsidRPr="007B69DF">
        <w:rPr>
          <w:rFonts w:ascii="Arial" w:hAnsi="Arial" w:cs="Arial"/>
        </w:rPr>
        <w:t xml:space="preserve">) </w:t>
      </w:r>
      <w:r w:rsidR="00C14E2C" w:rsidRPr="007B69DF">
        <w:rPr>
          <w:rFonts w:ascii="Arial" w:hAnsi="Arial" w:cs="Arial"/>
        </w:rPr>
        <w:t xml:space="preserve">katilinių </w:t>
      </w:r>
      <w:r w:rsidR="00B308C0" w:rsidRPr="007B69DF">
        <w:rPr>
          <w:rFonts w:ascii="Arial" w:hAnsi="Arial" w:cs="Arial"/>
        </w:rPr>
        <w:t>ir šilumos trasų techninis paruošimas</w:t>
      </w:r>
      <w:r w:rsidRPr="007B69DF">
        <w:rPr>
          <w:rFonts w:ascii="Arial" w:hAnsi="Arial" w:cs="Arial"/>
        </w:rPr>
        <w:t>, (</w:t>
      </w:r>
      <w:r w:rsidR="00B638A8">
        <w:rPr>
          <w:rFonts w:ascii="Arial" w:hAnsi="Arial" w:cs="Arial"/>
        </w:rPr>
        <w:t>II</w:t>
      </w:r>
      <w:r w:rsidRPr="007B69DF">
        <w:rPr>
          <w:rFonts w:ascii="Arial" w:hAnsi="Arial" w:cs="Arial"/>
        </w:rPr>
        <w:t>) daugiabučių namų šildymo ir karšto vandens sistemų paruošimas, (</w:t>
      </w:r>
      <w:r w:rsidR="00B638A8">
        <w:rPr>
          <w:rFonts w:ascii="Arial" w:hAnsi="Arial" w:cs="Arial"/>
        </w:rPr>
        <w:t>III</w:t>
      </w:r>
      <w:r w:rsidRPr="007B69DF">
        <w:rPr>
          <w:rFonts w:ascii="Arial" w:hAnsi="Arial" w:cs="Arial"/>
        </w:rPr>
        <w:t>) k</w:t>
      </w:r>
      <w:r w:rsidR="00B308C0" w:rsidRPr="007B69DF">
        <w:rPr>
          <w:rFonts w:ascii="Arial" w:hAnsi="Arial" w:cs="Arial"/>
        </w:rPr>
        <w:t>uro įsigijimas</w:t>
      </w:r>
      <w:r w:rsidR="005F3E88" w:rsidRPr="007B69DF">
        <w:rPr>
          <w:rFonts w:ascii="Arial" w:hAnsi="Arial" w:cs="Arial"/>
        </w:rPr>
        <w:t xml:space="preserve">, </w:t>
      </w:r>
      <w:r w:rsidRPr="007B69DF">
        <w:rPr>
          <w:rFonts w:ascii="Arial" w:hAnsi="Arial" w:cs="Arial"/>
        </w:rPr>
        <w:t>(</w:t>
      </w:r>
      <w:r w:rsidR="00B638A8">
        <w:rPr>
          <w:rFonts w:ascii="Arial" w:hAnsi="Arial" w:cs="Arial"/>
        </w:rPr>
        <w:t>IV</w:t>
      </w:r>
      <w:r w:rsidRPr="007B69DF">
        <w:rPr>
          <w:rFonts w:ascii="Arial" w:hAnsi="Arial" w:cs="Arial"/>
        </w:rPr>
        <w:t>) b</w:t>
      </w:r>
      <w:r w:rsidR="00B308C0" w:rsidRPr="007B69DF">
        <w:rPr>
          <w:rFonts w:ascii="Arial" w:hAnsi="Arial" w:cs="Arial"/>
        </w:rPr>
        <w:t>ūtinųjų investicijų įgyvendinimas</w:t>
      </w:r>
      <w:r w:rsidR="005F3E88" w:rsidRPr="007B69DF">
        <w:rPr>
          <w:rFonts w:ascii="Arial" w:hAnsi="Arial" w:cs="Arial"/>
        </w:rPr>
        <w:t xml:space="preserve"> </w:t>
      </w:r>
      <w:r w:rsidR="007D392D">
        <w:rPr>
          <w:rFonts w:ascii="Arial" w:hAnsi="Arial" w:cs="Arial"/>
        </w:rPr>
        <w:t xml:space="preserve">ir </w:t>
      </w:r>
      <w:r w:rsidR="005F3E88" w:rsidRPr="007B69DF">
        <w:rPr>
          <w:rFonts w:ascii="Arial" w:hAnsi="Arial" w:cs="Arial"/>
        </w:rPr>
        <w:t>(</w:t>
      </w:r>
      <w:r w:rsidR="00B638A8">
        <w:rPr>
          <w:rFonts w:ascii="Arial" w:hAnsi="Arial" w:cs="Arial"/>
        </w:rPr>
        <w:t>V</w:t>
      </w:r>
      <w:r w:rsidR="005F3E88" w:rsidRPr="007B69DF">
        <w:rPr>
          <w:rFonts w:ascii="Arial" w:hAnsi="Arial" w:cs="Arial"/>
        </w:rPr>
        <w:t xml:space="preserve">) </w:t>
      </w:r>
      <w:r w:rsidR="009C4391">
        <w:rPr>
          <w:rFonts w:ascii="Arial" w:hAnsi="Arial" w:cs="Arial"/>
        </w:rPr>
        <w:t>jungiamosios trasos</w:t>
      </w:r>
      <w:r w:rsidR="00A43453">
        <w:rPr>
          <w:rFonts w:ascii="Arial" w:hAnsi="Arial" w:cs="Arial"/>
        </w:rPr>
        <w:t xml:space="preserve"> praktinio</w:t>
      </w:r>
      <w:r w:rsidR="009C4391">
        <w:rPr>
          <w:rFonts w:ascii="Arial" w:hAnsi="Arial" w:cs="Arial"/>
        </w:rPr>
        <w:t xml:space="preserve"> veikimo analizė planuojant </w:t>
      </w:r>
      <w:r w:rsidR="00A43453">
        <w:rPr>
          <w:rFonts w:ascii="Arial" w:hAnsi="Arial" w:cs="Arial"/>
        </w:rPr>
        <w:t>energetinių išteklių</w:t>
      </w:r>
      <w:r w:rsidR="009C4391">
        <w:rPr>
          <w:rFonts w:ascii="Arial" w:hAnsi="Arial" w:cs="Arial"/>
        </w:rPr>
        <w:t xml:space="preserve"> poreikį šildymo sezono metu</w:t>
      </w:r>
      <w:r w:rsidR="005F3E88" w:rsidRPr="007B69DF">
        <w:rPr>
          <w:rFonts w:ascii="Arial" w:hAnsi="Arial" w:cs="Arial"/>
        </w:rPr>
        <w:t>.</w:t>
      </w:r>
    </w:p>
    <w:p w:rsidR="00CA3A9E" w:rsidRPr="007B69DF" w:rsidRDefault="00CA3A9E" w:rsidP="001B7B01">
      <w:pPr>
        <w:pStyle w:val="Sraopastraipa"/>
        <w:numPr>
          <w:ilvl w:val="0"/>
          <w:numId w:val="19"/>
        </w:numPr>
        <w:tabs>
          <w:tab w:val="left" w:pos="284"/>
        </w:tabs>
        <w:spacing w:after="120" w:line="240" w:lineRule="auto"/>
        <w:ind w:left="0" w:firstLine="0"/>
        <w:contextualSpacing w:val="0"/>
        <w:jc w:val="both"/>
        <w:rPr>
          <w:rFonts w:ascii="Arial" w:hAnsi="Arial" w:cs="Arial"/>
          <w:b/>
          <w:bCs/>
        </w:rPr>
      </w:pPr>
      <w:r w:rsidRPr="007B69DF">
        <w:rPr>
          <w:rFonts w:ascii="Arial" w:hAnsi="Arial" w:cs="Arial"/>
          <w:b/>
          <w:bCs/>
        </w:rPr>
        <w:t>Katilinių ir šilumos trasų techninis paruošimas</w:t>
      </w:r>
    </w:p>
    <w:p w:rsidR="004672E4" w:rsidRPr="007B69DF" w:rsidRDefault="004672E4" w:rsidP="001B7B01">
      <w:pPr>
        <w:spacing w:after="120" w:line="240" w:lineRule="auto"/>
        <w:jc w:val="both"/>
        <w:rPr>
          <w:rFonts w:ascii="Arial" w:hAnsi="Arial" w:cs="Arial"/>
        </w:rPr>
      </w:pPr>
      <w:r w:rsidRPr="007B69DF">
        <w:rPr>
          <w:rFonts w:ascii="Arial" w:hAnsi="Arial" w:cs="Arial"/>
        </w:rPr>
        <w:t>Katilinių ir šilumos trasų techninis paruošimas 202</w:t>
      </w:r>
      <w:r w:rsidR="00D730BC" w:rsidRPr="007B69DF">
        <w:rPr>
          <w:rFonts w:ascii="Arial" w:hAnsi="Arial" w:cs="Arial"/>
        </w:rPr>
        <w:t>2</w:t>
      </w:r>
      <w:r w:rsidRPr="007B69DF">
        <w:rPr>
          <w:rFonts w:ascii="Arial" w:hAnsi="Arial" w:cs="Arial"/>
        </w:rPr>
        <w:t>/202</w:t>
      </w:r>
      <w:r w:rsidR="00D730BC" w:rsidRPr="007B69DF">
        <w:rPr>
          <w:rFonts w:ascii="Arial" w:hAnsi="Arial" w:cs="Arial"/>
        </w:rPr>
        <w:t>3</w:t>
      </w:r>
      <w:r w:rsidRPr="007B69DF">
        <w:rPr>
          <w:rFonts w:ascii="Arial" w:hAnsi="Arial" w:cs="Arial"/>
        </w:rPr>
        <w:t xml:space="preserve"> metų šildymo sezonui vykdomas pagal 2021 m. balandžio – gegužės mėnesiais Katilinių eksploatavimo padalinio, Šilumos tinklų remonto ir eksploatavimo bei Elektros ūkio ir automatikos padalinių vadovų parengtus ir Bendrovės vadovo patvirtintus planinius remonto darbų grafikus.</w:t>
      </w:r>
    </w:p>
    <w:p w:rsidR="00F80AA4" w:rsidRPr="007B69DF" w:rsidRDefault="000E08D3" w:rsidP="001B7B01">
      <w:pPr>
        <w:spacing w:after="120" w:line="240" w:lineRule="auto"/>
        <w:jc w:val="both"/>
        <w:rPr>
          <w:rFonts w:ascii="Arial" w:hAnsi="Arial" w:cs="Arial"/>
        </w:rPr>
      </w:pPr>
      <w:r w:rsidRPr="007B69DF">
        <w:rPr>
          <w:rFonts w:ascii="Arial" w:hAnsi="Arial" w:cs="Arial"/>
        </w:rPr>
        <w:t xml:space="preserve">Šiai dienai pagal numatytus grafikus </w:t>
      </w:r>
      <w:r w:rsidR="00D730BC" w:rsidRPr="007B69DF">
        <w:rPr>
          <w:rFonts w:ascii="Arial" w:hAnsi="Arial" w:cs="Arial"/>
        </w:rPr>
        <w:t>visi darbai yra atlikti.</w:t>
      </w:r>
      <w:r w:rsidRPr="007B69DF">
        <w:rPr>
          <w:rFonts w:ascii="Arial" w:hAnsi="Arial" w:cs="Arial"/>
        </w:rPr>
        <w:t xml:space="preserve"> </w:t>
      </w:r>
    </w:p>
    <w:p w:rsidR="00A23CFB" w:rsidRPr="007B69DF" w:rsidRDefault="00D730BC" w:rsidP="001B7B01">
      <w:pPr>
        <w:spacing w:after="120" w:line="240" w:lineRule="auto"/>
        <w:jc w:val="both"/>
        <w:rPr>
          <w:rFonts w:ascii="Arial" w:hAnsi="Arial" w:cs="Arial"/>
        </w:rPr>
      </w:pPr>
      <w:r w:rsidRPr="007B69DF">
        <w:rPr>
          <w:rFonts w:ascii="Arial" w:hAnsi="Arial" w:cs="Arial"/>
        </w:rPr>
        <w:t xml:space="preserve">Nešildymo </w:t>
      </w:r>
      <w:r w:rsidR="00E574F4" w:rsidRPr="007B69DF">
        <w:rPr>
          <w:rFonts w:ascii="Arial" w:hAnsi="Arial" w:cs="Arial"/>
        </w:rPr>
        <w:t>sezono metu Bendrovė</w:t>
      </w:r>
      <w:r w:rsidR="00293A82" w:rsidRPr="007B69DF">
        <w:rPr>
          <w:rFonts w:ascii="Arial" w:hAnsi="Arial" w:cs="Arial"/>
        </w:rPr>
        <w:t>s Šilumos tinklų remonto ir eksploatavimo padalinys</w:t>
      </w:r>
      <w:r w:rsidR="00E574F4" w:rsidRPr="007B69DF">
        <w:rPr>
          <w:rFonts w:ascii="Arial" w:hAnsi="Arial" w:cs="Arial"/>
        </w:rPr>
        <w:t xml:space="preserve"> </w:t>
      </w:r>
      <w:r w:rsidRPr="007B69DF">
        <w:rPr>
          <w:rFonts w:ascii="Arial" w:hAnsi="Arial" w:cs="Arial"/>
        </w:rPr>
        <w:t xml:space="preserve">pakeitė  140 m ilgio trasą DN 100 į Plungės technologijų ir verslo mokyklą, taip pat 60 m ilgio trasą DN 200 į Plungės rajono savivaldybės ligoninę. </w:t>
      </w:r>
      <w:r w:rsidR="00EA35D2">
        <w:rPr>
          <w:rFonts w:ascii="Arial" w:hAnsi="Arial" w:cs="Arial"/>
        </w:rPr>
        <w:t>Atlikti remonto darbai</w:t>
      </w:r>
      <w:r w:rsidR="00293A82" w:rsidRPr="007B69DF">
        <w:rPr>
          <w:rFonts w:ascii="Arial" w:hAnsi="Arial" w:cs="Arial"/>
        </w:rPr>
        <w:t xml:space="preserve"> </w:t>
      </w:r>
      <w:r w:rsidR="00EA35D2">
        <w:rPr>
          <w:rFonts w:ascii="Arial" w:hAnsi="Arial" w:cs="Arial"/>
        </w:rPr>
        <w:t>– keistas įvadas į šiluminį punktą Dariaus ir Girėno g.42, taip pat Mačernio g.61. Žemaičių Kalvarijoje ir Stalgėnuose buvo tvarkomi katilinių stogai, taip pat atliekami einamieji smulkūs remonto darbai.</w:t>
      </w:r>
    </w:p>
    <w:p w:rsidR="000E08D3" w:rsidRPr="007B69DF" w:rsidRDefault="000E08D3" w:rsidP="001B7B01">
      <w:pPr>
        <w:pStyle w:val="Sraopastraipa"/>
        <w:numPr>
          <w:ilvl w:val="0"/>
          <w:numId w:val="19"/>
        </w:numPr>
        <w:tabs>
          <w:tab w:val="left" w:pos="284"/>
        </w:tabs>
        <w:spacing w:after="120" w:line="240" w:lineRule="auto"/>
        <w:ind w:left="0" w:firstLine="0"/>
        <w:contextualSpacing w:val="0"/>
        <w:jc w:val="both"/>
        <w:rPr>
          <w:rFonts w:ascii="Arial" w:hAnsi="Arial" w:cs="Arial"/>
          <w:b/>
          <w:bCs/>
        </w:rPr>
      </w:pPr>
      <w:r w:rsidRPr="007B69DF">
        <w:rPr>
          <w:rFonts w:ascii="Arial" w:hAnsi="Arial" w:cs="Arial"/>
          <w:b/>
          <w:bCs/>
        </w:rPr>
        <w:t>Š</w:t>
      </w:r>
      <w:r w:rsidR="00CA3A9E" w:rsidRPr="007B69DF">
        <w:rPr>
          <w:rFonts w:ascii="Arial" w:hAnsi="Arial" w:cs="Arial"/>
          <w:b/>
          <w:bCs/>
        </w:rPr>
        <w:t>ildymo ir karšto vandens sistemų paruošimas</w:t>
      </w:r>
    </w:p>
    <w:p w:rsidR="00A479AA" w:rsidRPr="007B69DF" w:rsidRDefault="000E08D3" w:rsidP="005805B2">
      <w:pPr>
        <w:pStyle w:val="Sraopastraipa"/>
        <w:tabs>
          <w:tab w:val="left" w:pos="284"/>
        </w:tabs>
        <w:spacing w:after="120" w:line="240" w:lineRule="auto"/>
        <w:ind w:left="0"/>
        <w:contextualSpacing w:val="0"/>
        <w:jc w:val="both"/>
        <w:rPr>
          <w:rFonts w:ascii="Arial" w:hAnsi="Arial" w:cs="Arial"/>
        </w:rPr>
      </w:pPr>
      <w:r w:rsidRPr="007B69DF">
        <w:rPr>
          <w:rFonts w:ascii="Arial" w:hAnsi="Arial" w:cs="Arial"/>
        </w:rPr>
        <w:t xml:space="preserve">Visuose </w:t>
      </w:r>
      <w:r w:rsidR="00E574F4" w:rsidRPr="007B69DF">
        <w:rPr>
          <w:rFonts w:ascii="Arial" w:hAnsi="Arial" w:cs="Arial"/>
        </w:rPr>
        <w:t>Bendrovės aptarnaujamuose 14</w:t>
      </w:r>
      <w:r w:rsidR="00EA35D2">
        <w:rPr>
          <w:rFonts w:ascii="Arial" w:hAnsi="Arial" w:cs="Arial"/>
        </w:rPr>
        <w:t>5</w:t>
      </w:r>
      <w:r w:rsidR="00E574F4" w:rsidRPr="007B69DF">
        <w:rPr>
          <w:rFonts w:ascii="Arial" w:hAnsi="Arial" w:cs="Arial"/>
        </w:rPr>
        <w:t xml:space="preserve"> vnt. </w:t>
      </w:r>
      <w:r w:rsidRPr="007B69DF">
        <w:rPr>
          <w:rFonts w:ascii="Arial" w:hAnsi="Arial" w:cs="Arial"/>
        </w:rPr>
        <w:t>daugiabučiuose namuose atlikti paruošiamieji šildymo sezonui darbai</w:t>
      </w:r>
      <w:r w:rsidR="00A23CFB" w:rsidRPr="007B69DF">
        <w:rPr>
          <w:rFonts w:ascii="Arial" w:hAnsi="Arial" w:cs="Arial"/>
        </w:rPr>
        <w:t>,</w:t>
      </w:r>
      <w:r w:rsidRPr="007B69DF">
        <w:rPr>
          <w:rFonts w:ascii="Arial" w:hAnsi="Arial" w:cs="Arial"/>
        </w:rPr>
        <w:t xml:space="preserve"> surašyti pastato par</w:t>
      </w:r>
      <w:r w:rsidR="00A479AA" w:rsidRPr="007B69DF">
        <w:rPr>
          <w:rFonts w:ascii="Arial" w:hAnsi="Arial" w:cs="Arial"/>
        </w:rPr>
        <w:t>e</w:t>
      </w:r>
      <w:r w:rsidRPr="007B69DF">
        <w:rPr>
          <w:rFonts w:ascii="Arial" w:hAnsi="Arial" w:cs="Arial"/>
        </w:rPr>
        <w:t>ngties š</w:t>
      </w:r>
      <w:r w:rsidR="00A479AA" w:rsidRPr="007B69DF">
        <w:rPr>
          <w:rFonts w:ascii="Arial" w:hAnsi="Arial" w:cs="Arial"/>
        </w:rPr>
        <w:t>i</w:t>
      </w:r>
      <w:r w:rsidRPr="007B69DF">
        <w:rPr>
          <w:rFonts w:ascii="Arial" w:hAnsi="Arial" w:cs="Arial"/>
        </w:rPr>
        <w:t xml:space="preserve">ldymo sezonui aktai. </w:t>
      </w:r>
      <w:r w:rsidR="00A709F1" w:rsidRPr="007B69DF">
        <w:rPr>
          <w:rFonts w:ascii="Arial" w:hAnsi="Arial" w:cs="Arial"/>
        </w:rPr>
        <w:t xml:space="preserve">Nešildymo sezono metu buvo </w:t>
      </w:r>
      <w:r w:rsidR="00C465D8" w:rsidRPr="007B69DF">
        <w:rPr>
          <w:rFonts w:ascii="Arial" w:hAnsi="Arial" w:cs="Arial"/>
        </w:rPr>
        <w:t>metrologiškai patikrinta</w:t>
      </w:r>
      <w:r w:rsidR="00A43453">
        <w:rPr>
          <w:rFonts w:ascii="Arial" w:hAnsi="Arial" w:cs="Arial"/>
        </w:rPr>
        <w:t xml:space="preserve"> </w:t>
      </w:r>
      <w:r w:rsidR="00A709F1" w:rsidRPr="007B69DF">
        <w:rPr>
          <w:rFonts w:ascii="Arial" w:hAnsi="Arial" w:cs="Arial"/>
        </w:rPr>
        <w:t>16</w:t>
      </w:r>
      <w:r w:rsidR="00C465D8" w:rsidRPr="007B69DF">
        <w:rPr>
          <w:rFonts w:ascii="Arial" w:hAnsi="Arial" w:cs="Arial"/>
        </w:rPr>
        <w:t>5</w:t>
      </w:r>
      <w:r w:rsidR="00A709F1" w:rsidRPr="007B69DF">
        <w:rPr>
          <w:rFonts w:ascii="Arial" w:hAnsi="Arial" w:cs="Arial"/>
        </w:rPr>
        <w:t xml:space="preserve"> šilumos apskaitos prietaisų, iš kurių 5 nepraėjo metrologinės patikros ir buvo pakeisti naujais apskaitos prietaisais. </w:t>
      </w:r>
      <w:r w:rsidR="005805B2" w:rsidRPr="007B69DF">
        <w:rPr>
          <w:rFonts w:ascii="Arial" w:hAnsi="Arial" w:cs="Arial"/>
        </w:rPr>
        <w:t>Šiai dienai bendrovė yra gavusi parengties šildymo sezonui aktus</w:t>
      </w:r>
      <w:r w:rsidR="00A709F1" w:rsidRPr="007B69DF">
        <w:rPr>
          <w:rFonts w:ascii="Arial" w:hAnsi="Arial" w:cs="Arial"/>
        </w:rPr>
        <w:t xml:space="preserve"> tik</w:t>
      </w:r>
      <w:r w:rsidR="005805B2" w:rsidRPr="007B69DF">
        <w:rPr>
          <w:rFonts w:ascii="Arial" w:hAnsi="Arial" w:cs="Arial"/>
        </w:rPr>
        <w:t xml:space="preserve"> </w:t>
      </w:r>
      <w:r w:rsidR="00A709F1" w:rsidRPr="007B69DF">
        <w:rPr>
          <w:rFonts w:ascii="Arial" w:hAnsi="Arial" w:cs="Arial"/>
        </w:rPr>
        <w:t>i</w:t>
      </w:r>
      <w:r w:rsidR="005805B2" w:rsidRPr="007B69DF">
        <w:rPr>
          <w:rFonts w:ascii="Arial" w:hAnsi="Arial" w:cs="Arial"/>
        </w:rPr>
        <w:t>š Plungės rajono apylinkės teismo</w:t>
      </w:r>
      <w:r w:rsidR="00A709F1" w:rsidRPr="007B69DF">
        <w:rPr>
          <w:rFonts w:ascii="Arial" w:hAnsi="Arial" w:cs="Arial"/>
        </w:rPr>
        <w:t>.</w:t>
      </w:r>
    </w:p>
    <w:p w:rsidR="00CA3A9E" w:rsidRPr="007B69DF" w:rsidRDefault="00CA3A9E" w:rsidP="005805B2">
      <w:pPr>
        <w:pStyle w:val="Sraopastraipa"/>
        <w:numPr>
          <w:ilvl w:val="0"/>
          <w:numId w:val="19"/>
        </w:numPr>
        <w:tabs>
          <w:tab w:val="left" w:pos="284"/>
        </w:tabs>
        <w:spacing w:after="120" w:line="240" w:lineRule="auto"/>
        <w:ind w:left="0" w:firstLine="0"/>
        <w:contextualSpacing w:val="0"/>
        <w:jc w:val="both"/>
        <w:rPr>
          <w:rFonts w:ascii="Arial" w:hAnsi="Arial" w:cs="Arial"/>
          <w:b/>
          <w:bCs/>
        </w:rPr>
      </w:pPr>
      <w:r w:rsidRPr="007B69DF">
        <w:rPr>
          <w:rFonts w:ascii="Arial" w:hAnsi="Arial" w:cs="Arial"/>
          <w:b/>
          <w:bCs/>
        </w:rPr>
        <w:t>Kuro įsigijimas</w:t>
      </w:r>
    </w:p>
    <w:p w:rsidR="00E876B0" w:rsidRPr="007B69DF" w:rsidRDefault="00E876B0" w:rsidP="005805B2">
      <w:pPr>
        <w:spacing w:after="120" w:line="240" w:lineRule="auto"/>
        <w:jc w:val="both"/>
        <w:rPr>
          <w:rFonts w:ascii="Arial" w:hAnsi="Arial" w:cs="Arial"/>
        </w:rPr>
      </w:pPr>
      <w:r w:rsidRPr="007B69DF">
        <w:rPr>
          <w:rFonts w:ascii="Arial" w:hAnsi="Arial" w:cs="Arial"/>
        </w:rPr>
        <w:t>Bendrovė</w:t>
      </w:r>
      <w:r w:rsidR="007B69DF" w:rsidRPr="007B69DF">
        <w:rPr>
          <w:rFonts w:ascii="Arial" w:hAnsi="Arial" w:cs="Arial"/>
        </w:rPr>
        <w:t xml:space="preserve"> jau yra įsigijusi </w:t>
      </w:r>
      <w:r w:rsidRPr="007B69DF">
        <w:rPr>
          <w:rFonts w:ascii="Arial" w:hAnsi="Arial" w:cs="Arial"/>
        </w:rPr>
        <w:t>Lentpjūvės katilinei reikalingą biokuro (SM2 skiedra) kiekį 202</w:t>
      </w:r>
      <w:r w:rsidR="00A709F1" w:rsidRPr="007B69DF">
        <w:rPr>
          <w:rFonts w:ascii="Arial" w:hAnsi="Arial" w:cs="Arial"/>
        </w:rPr>
        <w:t>2</w:t>
      </w:r>
      <w:r w:rsidRPr="007B69DF">
        <w:rPr>
          <w:rFonts w:ascii="Arial" w:hAnsi="Arial" w:cs="Arial"/>
        </w:rPr>
        <w:t>/202</w:t>
      </w:r>
      <w:r w:rsidR="00A709F1" w:rsidRPr="007B69DF">
        <w:rPr>
          <w:rFonts w:ascii="Arial" w:hAnsi="Arial" w:cs="Arial"/>
        </w:rPr>
        <w:t>3</w:t>
      </w:r>
      <w:r w:rsidRPr="007B69DF">
        <w:rPr>
          <w:rFonts w:ascii="Arial" w:hAnsi="Arial" w:cs="Arial"/>
        </w:rPr>
        <w:t xml:space="preserve"> šildymo sezonui</w:t>
      </w:r>
      <w:r w:rsidR="00A709F1" w:rsidRPr="007B69DF">
        <w:rPr>
          <w:rFonts w:ascii="Arial" w:hAnsi="Arial" w:cs="Arial"/>
        </w:rPr>
        <w:t xml:space="preserve"> </w:t>
      </w:r>
      <w:r w:rsidR="007B69DF" w:rsidRPr="007B69DF">
        <w:rPr>
          <w:rFonts w:ascii="Arial" w:hAnsi="Arial" w:cs="Arial"/>
        </w:rPr>
        <w:t xml:space="preserve">ir SM1 skiedrą, reikalingą daliai kaimų katilinių. Vertinant energetinės krizės poveikį biokuro rinkai ir tai, </w:t>
      </w:r>
      <w:r w:rsidR="00D12D23">
        <w:rPr>
          <w:rFonts w:ascii="Arial" w:hAnsi="Arial" w:cs="Arial"/>
        </w:rPr>
        <w:t>kad</w:t>
      </w:r>
      <w:r w:rsidR="007B69DF" w:rsidRPr="007B69DF">
        <w:rPr>
          <w:rFonts w:ascii="Arial" w:hAnsi="Arial" w:cs="Arial"/>
        </w:rPr>
        <w:t xml:space="preserve"> kai</w:t>
      </w:r>
      <w:r w:rsidR="00E20331">
        <w:rPr>
          <w:rFonts w:ascii="Arial" w:hAnsi="Arial" w:cs="Arial"/>
        </w:rPr>
        <w:t xml:space="preserve"> </w:t>
      </w:r>
      <w:r w:rsidR="007B69DF" w:rsidRPr="007B69DF">
        <w:rPr>
          <w:rFonts w:ascii="Arial" w:hAnsi="Arial" w:cs="Arial"/>
        </w:rPr>
        <w:t>kur</w:t>
      </w:r>
      <w:r w:rsidR="00E20331">
        <w:rPr>
          <w:rFonts w:ascii="Arial" w:hAnsi="Arial" w:cs="Arial"/>
        </w:rPr>
        <w:t>uose kituose miestuose</w:t>
      </w:r>
      <w:r w:rsidR="007B69DF" w:rsidRPr="007B69DF">
        <w:rPr>
          <w:rFonts w:ascii="Arial" w:hAnsi="Arial" w:cs="Arial"/>
        </w:rPr>
        <w:t xml:space="preserve"> dėl biokuro pasiūlos nebuvimo karštas vanduo netgi buvo gaminamas gamtinėmis dujomis kūrenamais katilais, Bendrovė vien patį faktą, kad pavyko užsitikrinti SM2 ir SM1 biokuro visam 2022/2023 metų šildymo sezonui vertina kaip didžiulę sėkmę. </w:t>
      </w:r>
      <w:r w:rsidR="00D12D23">
        <w:rPr>
          <w:rFonts w:ascii="Arial" w:hAnsi="Arial" w:cs="Arial"/>
        </w:rPr>
        <w:t>Lietuvoje iš viso šiai dienai yra sudaryti tik 23</w:t>
      </w:r>
      <w:r w:rsidR="007B69DF" w:rsidRPr="007B69DF">
        <w:rPr>
          <w:rFonts w:ascii="Arial" w:hAnsi="Arial" w:cs="Arial"/>
        </w:rPr>
        <w:t xml:space="preserve"> </w:t>
      </w:r>
      <w:r w:rsidR="00D12D23" w:rsidRPr="00D12D23">
        <w:rPr>
          <w:rFonts w:ascii="Arial" w:hAnsi="Arial" w:cs="Arial"/>
        </w:rPr>
        <w:t>SM2</w:t>
      </w:r>
      <w:r w:rsidR="00D12D23">
        <w:rPr>
          <w:rFonts w:ascii="Arial" w:hAnsi="Arial" w:cs="Arial"/>
        </w:rPr>
        <w:t xml:space="preserve"> skiedros pusmetiniai sandoriai, įskaitant ir 3 Bendrovės sandorius. Klaipėdos apskrityje</w:t>
      </w:r>
      <w:r w:rsidR="001E5396">
        <w:rPr>
          <w:rStyle w:val="Puslapioinaosnuoroda"/>
          <w:rFonts w:ascii="Arial" w:hAnsi="Arial" w:cs="Arial"/>
        </w:rPr>
        <w:footnoteReference w:id="1"/>
      </w:r>
      <w:r w:rsidR="00D12D23">
        <w:rPr>
          <w:rFonts w:ascii="Arial" w:hAnsi="Arial" w:cs="Arial"/>
        </w:rPr>
        <w:t xml:space="preserve"> buvo sudarytas tik 1 pusmetinis sandoris už 53,60 Eur/MW</w:t>
      </w:r>
      <w:r w:rsidR="001E5396">
        <w:rPr>
          <w:rFonts w:ascii="Arial" w:hAnsi="Arial" w:cs="Arial"/>
        </w:rPr>
        <w:t xml:space="preserve">h, </w:t>
      </w:r>
      <w:r w:rsidR="0059210F">
        <w:rPr>
          <w:rFonts w:ascii="Arial" w:hAnsi="Arial" w:cs="Arial"/>
        </w:rPr>
        <w:t xml:space="preserve">o </w:t>
      </w:r>
      <w:r w:rsidR="001E5396">
        <w:rPr>
          <w:rFonts w:ascii="Arial" w:hAnsi="Arial" w:cs="Arial"/>
        </w:rPr>
        <w:t xml:space="preserve">ketvirtinių sandorių kaina Klaipėdos apskrityje svyruoja nuo 55 Eur/MWh iki 60 Eur/MWh. Tuo tarpu SM1 skiedros pusmetinį sandorį </w:t>
      </w:r>
      <w:r w:rsidR="006E267E">
        <w:rPr>
          <w:rFonts w:ascii="Arial" w:hAnsi="Arial" w:cs="Arial"/>
        </w:rPr>
        <w:t xml:space="preserve">visoje </w:t>
      </w:r>
      <w:r w:rsidR="001E5396">
        <w:rPr>
          <w:rFonts w:ascii="Arial" w:hAnsi="Arial" w:cs="Arial"/>
        </w:rPr>
        <w:t>Lietuvoje kol kas yra sudarę vieninteliai Plungės šilumos tinklai.</w:t>
      </w:r>
    </w:p>
    <w:p w:rsidR="007B69DF" w:rsidRPr="007B69DF" w:rsidRDefault="006E267E" w:rsidP="005805B2">
      <w:pPr>
        <w:spacing w:after="120" w:line="240" w:lineRule="auto"/>
        <w:jc w:val="both"/>
        <w:rPr>
          <w:rFonts w:ascii="Arial" w:hAnsi="Arial" w:cs="Arial"/>
        </w:rPr>
      </w:pPr>
      <w:r>
        <w:rPr>
          <w:rFonts w:ascii="Arial" w:hAnsi="Arial" w:cs="Arial"/>
        </w:rPr>
        <w:t>Žemiau pateikiame informaciją apie visus sudarytus/planuojamus sudaryti kuro sandorius:</w:t>
      </w:r>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78"/>
        <w:gridCol w:w="1605"/>
        <w:gridCol w:w="2624"/>
        <w:gridCol w:w="1984"/>
        <w:gridCol w:w="1843"/>
      </w:tblGrid>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Kuro rūšis</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Kiekis</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Kuriam laikotarpiui</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Tiekėjas</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b/>
                <w:bCs/>
                <w:sz w:val="20"/>
                <w:szCs w:val="20"/>
              </w:rPr>
            </w:pPr>
            <w:r w:rsidRPr="007B69DF">
              <w:rPr>
                <w:rFonts w:ascii="Arial" w:hAnsi="Arial" w:cs="Arial"/>
                <w:b/>
                <w:bCs/>
                <w:sz w:val="20"/>
                <w:szCs w:val="20"/>
              </w:rPr>
              <w:t>Kaina 2022 m.</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SM2-Lentpjūvės 14E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8400 MWh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Gilinis</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51,50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SM2-Lentpjūvės 14E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8400 MWh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Platelių šilas/UAB Enila</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51,50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SM2-Lentpjūvės 14E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8400 MWh</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Alinava</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51,50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SM1 </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3360 MWh</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Pusmetinis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UAB Gilinis</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60 </w:t>
            </w:r>
            <w:r w:rsidRP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Suskystintos naftos dujos-Platelių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45 t (preliminarus kiekis)</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metams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Atsargų užtenka spalio, lapkričio mėnesiams, kitiems mėnesiams konkursas vyks 09 mėn.</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r w:rsidRPr="0059210F">
              <w:rPr>
                <w:rFonts w:ascii="Arial" w:hAnsi="Arial" w:cs="Arial"/>
                <w:sz w:val="20"/>
                <w:szCs w:val="20"/>
              </w:rPr>
              <w:t>ORLEN kaina+22</w:t>
            </w:r>
            <w:r w:rsidR="00AF4E48">
              <w:rPr>
                <w:rFonts w:ascii="Arial" w:hAnsi="Arial" w:cs="Arial"/>
                <w:sz w:val="20"/>
                <w:szCs w:val="20"/>
              </w:rPr>
              <w:t xml:space="preserve"> </w:t>
            </w:r>
            <w:r w:rsidRPr="0059210F">
              <w:rPr>
                <w:rFonts w:ascii="Arial" w:hAnsi="Arial" w:cs="Arial"/>
                <w:sz w:val="20"/>
                <w:szCs w:val="20"/>
              </w:rPr>
              <w:t>Eur/t antkainis+20</w:t>
            </w:r>
            <w:r w:rsidR="00AF4E48">
              <w:rPr>
                <w:rFonts w:ascii="Arial" w:hAnsi="Arial" w:cs="Arial"/>
                <w:sz w:val="20"/>
                <w:szCs w:val="20"/>
              </w:rPr>
              <w:t xml:space="preserve"> </w:t>
            </w:r>
            <w:r w:rsidRPr="0059210F">
              <w:rPr>
                <w:rFonts w:ascii="Arial" w:hAnsi="Arial" w:cs="Arial"/>
                <w:sz w:val="20"/>
                <w:szCs w:val="20"/>
              </w:rPr>
              <w:t xml:space="preserve">Eur/t pristatymo kaina </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Dyzelinis krosnių kuras-Kulių katilinei</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 18000 litrų</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metams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Atsargų užtenka spalio, lapkričio mėnesiams, kitiems mėnesiams konkursas vyks 09 mėn.</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r w:rsidRPr="0059210F">
              <w:rPr>
                <w:rFonts w:ascii="Arial" w:hAnsi="Arial" w:cs="Arial"/>
                <w:sz w:val="20"/>
                <w:szCs w:val="20"/>
              </w:rPr>
              <w:t>Orlen kaina + 48,88</w:t>
            </w:r>
            <w:r w:rsidR="00AF4E48">
              <w:rPr>
                <w:rFonts w:ascii="Arial" w:hAnsi="Arial" w:cs="Arial"/>
                <w:sz w:val="20"/>
                <w:szCs w:val="20"/>
              </w:rPr>
              <w:t xml:space="preserve"> Eur</w:t>
            </w:r>
            <w:r w:rsidRPr="0059210F">
              <w:rPr>
                <w:rFonts w:ascii="Arial" w:hAnsi="Arial" w:cs="Arial"/>
                <w:sz w:val="20"/>
                <w:szCs w:val="20"/>
              </w:rPr>
              <w:t xml:space="preserve"> /1000 l antkainis + 0 pristatymas</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MG1-Norvaišiai, Alsėdžių, Gegrėnų, Žem Kalvarijos katilinės; </w:t>
            </w:r>
          </w:p>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MG2-Stanelių katilinė</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MG1 apsirūpinta spalio, lapkričio mėnesiams, vėliau perkama pagal poreikį, savaitinis pristatymas</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Nupirkta iš  UAB Andeta spalio, lapkričio mėn.</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xml:space="preserve">110 </w:t>
            </w:r>
            <w:r w:rsidR="0059210F">
              <w:rPr>
                <w:rFonts w:ascii="Arial" w:hAnsi="Arial" w:cs="Arial"/>
                <w:sz w:val="20"/>
                <w:szCs w:val="20"/>
              </w:rPr>
              <w:t>E</w:t>
            </w:r>
            <w:r w:rsidRPr="007B69DF">
              <w:rPr>
                <w:rFonts w:ascii="Arial" w:hAnsi="Arial" w:cs="Arial"/>
                <w:sz w:val="20"/>
                <w:szCs w:val="20"/>
              </w:rPr>
              <w:t>ur/MWh</w:t>
            </w:r>
          </w:p>
        </w:tc>
      </w:tr>
      <w:tr w:rsidR="006E267E" w:rsidRPr="007B69DF" w:rsidTr="003A03BD">
        <w:tc>
          <w:tcPr>
            <w:tcW w:w="1578"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Dujos</w:t>
            </w:r>
          </w:p>
        </w:tc>
        <w:tc>
          <w:tcPr>
            <w:tcW w:w="1605"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c>
          <w:tcPr>
            <w:tcW w:w="262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c>
          <w:tcPr>
            <w:tcW w:w="1984"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Perkama biržoje pagal poreikį</w:t>
            </w:r>
          </w:p>
        </w:tc>
        <w:tc>
          <w:tcPr>
            <w:tcW w:w="1843" w:type="dxa"/>
            <w:tcBorders>
              <w:top w:val="single" w:sz="4" w:space="0" w:color="auto"/>
              <w:left w:val="single" w:sz="4" w:space="0" w:color="auto"/>
              <w:bottom w:val="single" w:sz="4" w:space="0" w:color="auto"/>
              <w:right w:val="single" w:sz="4" w:space="0" w:color="auto"/>
            </w:tcBorders>
            <w:hideMark/>
          </w:tcPr>
          <w:p w:rsidR="006E267E" w:rsidRPr="007B69DF" w:rsidRDefault="006E267E" w:rsidP="007B69DF">
            <w:pPr>
              <w:spacing w:after="120" w:line="240" w:lineRule="auto"/>
              <w:jc w:val="both"/>
              <w:rPr>
                <w:rFonts w:ascii="Arial" w:hAnsi="Arial" w:cs="Arial"/>
                <w:sz w:val="20"/>
                <w:szCs w:val="20"/>
              </w:rPr>
            </w:pPr>
            <w:r w:rsidRPr="007B69DF">
              <w:rPr>
                <w:rFonts w:ascii="Arial" w:hAnsi="Arial" w:cs="Arial"/>
                <w:sz w:val="20"/>
                <w:szCs w:val="20"/>
              </w:rPr>
              <w:t> </w:t>
            </w:r>
          </w:p>
        </w:tc>
      </w:tr>
    </w:tbl>
    <w:p w:rsidR="00CA3A9E" w:rsidRPr="007B50AA" w:rsidRDefault="00CA3A9E" w:rsidP="006E267E">
      <w:pPr>
        <w:pStyle w:val="Sraopastraipa"/>
        <w:numPr>
          <w:ilvl w:val="0"/>
          <w:numId w:val="19"/>
        </w:numPr>
        <w:tabs>
          <w:tab w:val="left" w:pos="284"/>
        </w:tabs>
        <w:spacing w:before="120" w:after="120" w:line="240" w:lineRule="auto"/>
        <w:ind w:left="0" w:firstLine="0"/>
        <w:contextualSpacing w:val="0"/>
        <w:jc w:val="both"/>
        <w:rPr>
          <w:rFonts w:ascii="Arial" w:hAnsi="Arial" w:cs="Arial"/>
          <w:b/>
          <w:bCs/>
        </w:rPr>
      </w:pPr>
      <w:r w:rsidRPr="007B50AA">
        <w:rPr>
          <w:rFonts w:ascii="Arial" w:hAnsi="Arial" w:cs="Arial"/>
          <w:b/>
          <w:bCs/>
        </w:rPr>
        <w:t>Būtinųjų investicijų įgyvendinimas</w:t>
      </w:r>
    </w:p>
    <w:p w:rsidR="00FE68D0" w:rsidRDefault="009C41D5" w:rsidP="001B7B01">
      <w:pPr>
        <w:spacing w:after="120" w:line="240" w:lineRule="auto"/>
        <w:jc w:val="both"/>
        <w:rPr>
          <w:rFonts w:ascii="Arial" w:hAnsi="Arial" w:cs="Arial"/>
        </w:rPr>
      </w:pPr>
      <w:r>
        <w:rPr>
          <w:rFonts w:ascii="Arial" w:hAnsi="Arial" w:cs="Arial"/>
        </w:rPr>
        <w:t xml:space="preserve">Bendrovei 2022 m. balandžio mėnesį užbaigus jungiamosios trasos projekto šiluminę dalį ir sujungus dvi atskiras miesto centralizuoto šildymo sistemas, faktinis gamtinių dujų poreikis sumažėjo nuo 32,8 proc. iki 8 proc. Tačiau tam, kad jungiamoji trasa veiktų saugiai ir efektyviai, Bendrovė, įvertinusi praktinį jungiamosios trasos veikimą, </w:t>
      </w:r>
      <w:r w:rsidR="00207050">
        <w:rPr>
          <w:rFonts w:ascii="Arial" w:hAnsi="Arial" w:cs="Arial"/>
        </w:rPr>
        <w:t>spalio mėnesį įgyvendins katilų kontūrų atskyrimą</w:t>
      </w:r>
      <w:r w:rsidR="00304F34">
        <w:rPr>
          <w:rFonts w:ascii="Arial" w:hAnsi="Arial" w:cs="Arial"/>
        </w:rPr>
        <w:t xml:space="preserve"> pagal UAB „Energo konsultavimas“ parengtą techninį darbo projektą „Šilumos tiekimo sistemos katilinėje Lentpjūvės g.14E, Plungėje kapitalinio remonto projektas“. Šio projekto metu Lentpjūvės g. katilinėje esantys šilumos gamybos įrenginiai per šilumokaičius bus atskirti nuo šilumos trasų sistemos tam, kad žemas grįžtantis slėgis trasose neturėtų jokios įtakos biokuro katilų darbui. Planuojama kapitalinio remonto darbus užbaigti iki š.m. lapkričio mėnesio.</w:t>
      </w:r>
    </w:p>
    <w:p w:rsidR="00BE0BEB" w:rsidRDefault="00304F34" w:rsidP="001B7B01">
      <w:pPr>
        <w:spacing w:after="120" w:line="240" w:lineRule="auto"/>
        <w:jc w:val="both"/>
        <w:rPr>
          <w:rFonts w:ascii="Arial" w:hAnsi="Arial" w:cs="Arial"/>
        </w:rPr>
      </w:pPr>
      <w:r>
        <w:rPr>
          <w:rFonts w:ascii="Arial" w:hAnsi="Arial" w:cs="Arial"/>
        </w:rPr>
        <w:t xml:space="preserve">Aukščiau nurodyti kapitalinio remonto darbai yra laikomi neatsiejama jungiamosios trasos dalimi ir </w:t>
      </w:r>
      <w:r w:rsidR="007A53DD">
        <w:rPr>
          <w:rFonts w:ascii="Arial" w:hAnsi="Arial" w:cs="Arial"/>
        </w:rPr>
        <w:t>šių darbų vertė bus įtraukta į jungiamosios trasos investicijų projektą.</w:t>
      </w:r>
    </w:p>
    <w:p w:rsidR="009C4391" w:rsidRDefault="00D12D23" w:rsidP="0030084B">
      <w:pPr>
        <w:spacing w:after="120" w:line="240" w:lineRule="auto"/>
        <w:jc w:val="both"/>
        <w:rPr>
          <w:rFonts w:ascii="Arial" w:hAnsi="Arial" w:cs="Arial"/>
        </w:rPr>
      </w:pPr>
      <w:r>
        <w:rPr>
          <w:rFonts w:ascii="Arial" w:hAnsi="Arial" w:cs="Arial"/>
        </w:rPr>
        <w:t xml:space="preserve">Taip pat Bendrovė ketina </w:t>
      </w:r>
      <w:r w:rsidR="009C4391">
        <w:rPr>
          <w:rFonts w:ascii="Arial" w:hAnsi="Arial" w:cs="Arial"/>
        </w:rPr>
        <w:t xml:space="preserve">dar šiais metais </w:t>
      </w:r>
      <w:r w:rsidR="0030084B">
        <w:rPr>
          <w:rFonts w:ascii="Arial" w:hAnsi="Arial" w:cs="Arial"/>
        </w:rPr>
        <w:t>panaikinti Staneliuose esančią katilinę ir Stanelių bendruomenės pastato, esančio adresu Mokyklos g.3A, Staneliai, šildymui įrengti tris po 15 kW galios šilumos siurblius oras-vanduo</w:t>
      </w:r>
      <w:r w:rsidR="009C4391">
        <w:rPr>
          <w:rFonts w:ascii="Arial" w:hAnsi="Arial" w:cs="Arial"/>
        </w:rPr>
        <w:t xml:space="preserve">. Stanelių katilinėje </w:t>
      </w:r>
      <w:r w:rsidR="009C4391" w:rsidRPr="009C4391">
        <w:rPr>
          <w:rFonts w:ascii="Arial" w:hAnsi="Arial" w:cs="Arial"/>
        </w:rPr>
        <w:t xml:space="preserve">esantys du granuliniai 0,1 MW galios katilai bus perkelti į Platelių miestelio katilinę, kurioje šiuo metu yra tik iškastinis kuras – šilumos energija yra gaminama 1998 metais pagamintais dviem 0,4 MW galios suskystintų dujų katilais Vapor AKU – 400. Šie katilai yra seni ir per galingi, todėl neefektyviai išnaudojami, o Staneliuose esančių granulinių katilų galios būtų pakankama užtikrinti Platelių miestelio centralizuotos šilumos energijos poreikius. </w:t>
      </w:r>
      <w:r w:rsidR="009C4391">
        <w:rPr>
          <w:rFonts w:ascii="Arial" w:hAnsi="Arial" w:cs="Arial"/>
        </w:rPr>
        <w:t>T</w:t>
      </w:r>
      <w:r w:rsidR="009C4391" w:rsidRPr="009C4391">
        <w:rPr>
          <w:rFonts w:ascii="Arial" w:hAnsi="Arial" w:cs="Arial"/>
        </w:rPr>
        <w:t>okiu sprendiniu b</w:t>
      </w:r>
      <w:r w:rsidR="009C4391">
        <w:rPr>
          <w:rFonts w:ascii="Arial" w:hAnsi="Arial" w:cs="Arial"/>
        </w:rPr>
        <w:t>us</w:t>
      </w:r>
      <w:r w:rsidR="009C4391" w:rsidRPr="009C4391">
        <w:rPr>
          <w:rFonts w:ascii="Arial" w:hAnsi="Arial" w:cs="Arial"/>
        </w:rPr>
        <w:t xml:space="preserve"> sumažintas iškastinio kuro naudojimas centralizuotoje šilumos gamyboje Plungės rajone.</w:t>
      </w:r>
    </w:p>
    <w:p w:rsidR="009C4391" w:rsidRPr="00FD6B35" w:rsidRDefault="00A43453" w:rsidP="00A43453">
      <w:pPr>
        <w:pStyle w:val="Sraopastraipa"/>
        <w:numPr>
          <w:ilvl w:val="0"/>
          <w:numId w:val="19"/>
        </w:numPr>
        <w:tabs>
          <w:tab w:val="left" w:pos="426"/>
        </w:tabs>
        <w:spacing w:after="120" w:line="240" w:lineRule="auto"/>
        <w:ind w:left="0" w:firstLine="0"/>
        <w:jc w:val="both"/>
        <w:rPr>
          <w:rFonts w:ascii="Arial" w:hAnsi="Arial" w:cs="Arial"/>
          <w:b/>
          <w:bCs/>
        </w:rPr>
      </w:pPr>
      <w:r w:rsidRPr="00FD6B35">
        <w:rPr>
          <w:rFonts w:ascii="Arial" w:hAnsi="Arial" w:cs="Arial"/>
          <w:b/>
          <w:bCs/>
        </w:rPr>
        <w:t>Jungiamosios trasos praktinio veikimo analizė planuojant energetinių išteklių poreikį šildymo sezono metu</w:t>
      </w:r>
    </w:p>
    <w:p w:rsidR="00A43453" w:rsidRDefault="00B67CBD" w:rsidP="00A43453">
      <w:pPr>
        <w:tabs>
          <w:tab w:val="left" w:pos="426"/>
        </w:tabs>
        <w:spacing w:after="120" w:line="240" w:lineRule="auto"/>
        <w:jc w:val="both"/>
        <w:rPr>
          <w:rFonts w:ascii="Arial" w:hAnsi="Arial" w:cs="Arial"/>
        </w:rPr>
      </w:pPr>
      <w:r>
        <w:rPr>
          <w:rFonts w:ascii="Arial" w:hAnsi="Arial" w:cs="Arial"/>
        </w:rPr>
        <w:t>Nuo 2021 metų pradžios i</w:t>
      </w:r>
      <w:r w:rsidR="00FD6B35">
        <w:rPr>
          <w:rFonts w:ascii="Arial" w:hAnsi="Arial" w:cs="Arial"/>
        </w:rPr>
        <w:t>ki jungiamosios trasos įgyvendinimo</w:t>
      </w:r>
      <w:r>
        <w:rPr>
          <w:rFonts w:ascii="Arial" w:hAnsi="Arial" w:cs="Arial"/>
        </w:rPr>
        <w:t>,</w:t>
      </w:r>
      <w:r w:rsidR="00A43453" w:rsidRPr="00A43453">
        <w:rPr>
          <w:rFonts w:ascii="Arial" w:hAnsi="Arial" w:cs="Arial"/>
        </w:rPr>
        <w:t xml:space="preserve"> Mačernio sistemoje buvo 8 MW galios biokuru kūrenami NŠG įrenginiai ir Bendrovės 22,51 MW galios dujiniai vandens šildymo katilai, užtikrinę rezervo poreikį. Šildymo sezono metu vidutinis Mačernio sistemos šilumos galios poreikis yra 12 MW</w:t>
      </w:r>
      <w:r w:rsidR="00172CCE">
        <w:rPr>
          <w:rFonts w:ascii="Arial" w:hAnsi="Arial" w:cs="Arial"/>
        </w:rPr>
        <w:t>h</w:t>
      </w:r>
      <w:r w:rsidR="00A43453" w:rsidRPr="00A43453">
        <w:rPr>
          <w:rFonts w:ascii="Arial" w:hAnsi="Arial" w:cs="Arial"/>
        </w:rPr>
        <w:t>, todėl šioje sistemoje turimų NŠG biokuro katilų n</w:t>
      </w:r>
      <w:r>
        <w:rPr>
          <w:rFonts w:ascii="Arial" w:hAnsi="Arial" w:cs="Arial"/>
        </w:rPr>
        <w:t>eužteko</w:t>
      </w:r>
      <w:r w:rsidR="00A43453" w:rsidRPr="00A43453">
        <w:rPr>
          <w:rFonts w:ascii="Arial" w:hAnsi="Arial" w:cs="Arial"/>
        </w:rPr>
        <w:t xml:space="preserve"> padengti viso poreikio ir </w:t>
      </w:r>
      <w:r>
        <w:rPr>
          <w:rFonts w:ascii="Arial" w:hAnsi="Arial" w:cs="Arial"/>
        </w:rPr>
        <w:t>trūkstamas kiekis</w:t>
      </w:r>
      <w:r w:rsidR="00EB7952">
        <w:rPr>
          <w:rFonts w:ascii="Arial" w:hAnsi="Arial" w:cs="Arial"/>
        </w:rPr>
        <w:t xml:space="preserve"> (vidutiniškai 4 MWh arba </w:t>
      </w:r>
      <w:r w:rsidR="00172CCE">
        <w:rPr>
          <w:rFonts w:ascii="Arial" w:hAnsi="Arial" w:cs="Arial"/>
        </w:rPr>
        <w:t xml:space="preserve">apie </w:t>
      </w:r>
      <w:r w:rsidR="0053021E">
        <w:rPr>
          <w:rFonts w:ascii="Arial" w:hAnsi="Arial" w:cs="Arial"/>
        </w:rPr>
        <w:t>15 tūkst.</w:t>
      </w:r>
      <w:r w:rsidR="00EB7952">
        <w:rPr>
          <w:rFonts w:ascii="Arial" w:hAnsi="Arial" w:cs="Arial"/>
        </w:rPr>
        <w:t xml:space="preserve"> MWh/sezonui)</w:t>
      </w:r>
      <w:r>
        <w:rPr>
          <w:rFonts w:ascii="Arial" w:hAnsi="Arial" w:cs="Arial"/>
        </w:rPr>
        <w:t xml:space="preserve"> turėtų būti gaminamas</w:t>
      </w:r>
      <w:r w:rsidR="00A43453" w:rsidRPr="00A43453">
        <w:rPr>
          <w:rFonts w:ascii="Arial" w:hAnsi="Arial" w:cs="Arial"/>
        </w:rPr>
        <w:t xml:space="preserve"> Bendrovės turimais rezerviniais gamtinių dujų katilais</w:t>
      </w:r>
      <w:r>
        <w:rPr>
          <w:rFonts w:ascii="Arial" w:hAnsi="Arial" w:cs="Arial"/>
        </w:rPr>
        <w:t xml:space="preserve">. Atitinkamai toks šilumos energijos gamybos šaltinių instaliuotos galios pokytis padidino gamtinių dujų poreikį šilumos gamybai </w:t>
      </w:r>
      <w:r w:rsidR="00C649FA">
        <w:rPr>
          <w:rFonts w:ascii="Arial" w:hAnsi="Arial" w:cs="Arial"/>
        </w:rPr>
        <w:t>nuo 4,9 proc. iki 32,8 proc.</w:t>
      </w:r>
    </w:p>
    <w:p w:rsidR="00B67CBD" w:rsidRDefault="00B67CBD" w:rsidP="00A43453">
      <w:pPr>
        <w:tabs>
          <w:tab w:val="left" w:pos="426"/>
        </w:tabs>
        <w:spacing w:after="120" w:line="240" w:lineRule="auto"/>
        <w:jc w:val="both"/>
        <w:rPr>
          <w:rFonts w:ascii="Arial" w:hAnsi="Arial" w:cs="Arial"/>
        </w:rPr>
      </w:pPr>
      <w:r>
        <w:rPr>
          <w:rFonts w:ascii="Arial" w:hAnsi="Arial" w:cs="Arial"/>
        </w:rPr>
        <w:t xml:space="preserve">Po </w:t>
      </w:r>
      <w:r w:rsidR="00C649FA">
        <w:rPr>
          <w:rFonts w:ascii="Arial" w:hAnsi="Arial" w:cs="Arial"/>
        </w:rPr>
        <w:t xml:space="preserve">jungiamosios trasos įgyvendinimo, trūkstamas Mačernio sistemoje šilumos energijos kiekis </w:t>
      </w:r>
      <w:r w:rsidR="00EB7952">
        <w:rPr>
          <w:rFonts w:ascii="Arial" w:hAnsi="Arial" w:cs="Arial"/>
        </w:rPr>
        <w:t>šildymo sezono metu bus</w:t>
      </w:r>
      <w:r w:rsidR="00C649FA">
        <w:rPr>
          <w:rFonts w:ascii="Arial" w:hAnsi="Arial" w:cs="Arial"/>
        </w:rPr>
        <w:t xml:space="preserve"> gaminamas nebe Bendrovės turimais gamtinių dujų katilais, o Lentpjūvės g. katilinėje esančiais biokuru kūrenamais įrenginiais. Tačiau </w:t>
      </w:r>
      <w:r w:rsidR="00EB7952">
        <w:rPr>
          <w:rFonts w:ascii="Arial" w:hAnsi="Arial" w:cs="Arial"/>
        </w:rPr>
        <w:t>žinant apie trasose esančius hidraulinius ribojimus</w:t>
      </w:r>
      <w:r w:rsidR="0050022A">
        <w:rPr>
          <w:rFonts w:ascii="Arial" w:hAnsi="Arial" w:cs="Arial"/>
        </w:rPr>
        <w:t xml:space="preserve"> ir siekiant tinkamai suprognozuoti pinigų srautus</w:t>
      </w:r>
      <w:r w:rsidR="00EB7952">
        <w:rPr>
          <w:rFonts w:ascii="Arial" w:hAnsi="Arial" w:cs="Arial"/>
        </w:rPr>
        <w:t>,</w:t>
      </w:r>
      <w:r w:rsidR="00C649FA">
        <w:rPr>
          <w:rFonts w:ascii="Arial" w:hAnsi="Arial" w:cs="Arial"/>
        </w:rPr>
        <w:t xml:space="preserve"> buvo būtina</w:t>
      </w:r>
      <w:r w:rsidR="00EB7952">
        <w:rPr>
          <w:rFonts w:ascii="Arial" w:hAnsi="Arial" w:cs="Arial"/>
        </w:rPr>
        <w:t xml:space="preserve"> dar</w:t>
      </w:r>
      <w:r w:rsidR="00C649FA">
        <w:rPr>
          <w:rFonts w:ascii="Arial" w:hAnsi="Arial" w:cs="Arial"/>
        </w:rPr>
        <w:t xml:space="preserve"> iki šildymo sezono pradžios tiksliai nustatyti</w:t>
      </w:r>
      <w:r w:rsidR="00EB7952">
        <w:rPr>
          <w:rFonts w:ascii="Arial" w:hAnsi="Arial" w:cs="Arial"/>
        </w:rPr>
        <w:t xml:space="preserve"> šilumos energijos kiekį, kurį bus galima pagaminti ir patiekti vartotojams biokuru kūrenamais įrenginiais, bei </w:t>
      </w:r>
      <w:r w:rsidR="0050022A">
        <w:rPr>
          <w:rFonts w:ascii="Arial" w:hAnsi="Arial" w:cs="Arial"/>
        </w:rPr>
        <w:t>įsivertinti trūkumą, kuris turės būti dengiamas gamtinių dujų katilais.</w:t>
      </w:r>
    </w:p>
    <w:p w:rsidR="00EB7952" w:rsidRPr="00BE46D8" w:rsidRDefault="00EB7952" w:rsidP="00EB7952">
      <w:pPr>
        <w:spacing w:after="120" w:line="240" w:lineRule="auto"/>
        <w:jc w:val="both"/>
        <w:rPr>
          <w:rFonts w:ascii="Arial" w:hAnsi="Arial" w:cs="Arial"/>
          <w:sz w:val="23"/>
          <w:szCs w:val="23"/>
        </w:rPr>
      </w:pPr>
      <w:r w:rsidRPr="00BE46D8">
        <w:rPr>
          <w:rFonts w:ascii="Arial" w:hAnsi="Arial" w:cs="Arial"/>
          <w:sz w:val="23"/>
          <w:szCs w:val="23"/>
        </w:rPr>
        <w:t>Lietuvos energetikos institutas</w:t>
      </w:r>
      <w:r w:rsidR="0050022A">
        <w:rPr>
          <w:rFonts w:ascii="Arial" w:hAnsi="Arial" w:cs="Arial"/>
          <w:sz w:val="23"/>
          <w:szCs w:val="23"/>
        </w:rPr>
        <w:t xml:space="preserve"> š.</w:t>
      </w:r>
      <w:r w:rsidR="00B638A8">
        <w:rPr>
          <w:rFonts w:ascii="Arial" w:hAnsi="Arial" w:cs="Arial"/>
          <w:sz w:val="23"/>
          <w:szCs w:val="23"/>
        </w:rPr>
        <w:t xml:space="preserve"> </w:t>
      </w:r>
      <w:r w:rsidR="0050022A">
        <w:rPr>
          <w:rFonts w:ascii="Arial" w:hAnsi="Arial" w:cs="Arial"/>
          <w:sz w:val="23"/>
          <w:szCs w:val="23"/>
        </w:rPr>
        <w:t>m. liepos mėnesį</w:t>
      </w:r>
      <w:r w:rsidRPr="00BE46D8">
        <w:rPr>
          <w:rFonts w:ascii="Arial" w:hAnsi="Arial" w:cs="Arial"/>
          <w:sz w:val="23"/>
          <w:szCs w:val="23"/>
        </w:rPr>
        <w:t xml:space="preserve"> atliko Plungės CŠT sistemos modeliavimą pagal realius </w:t>
      </w:r>
      <w:r w:rsidR="0050022A">
        <w:rPr>
          <w:rFonts w:ascii="Arial" w:hAnsi="Arial" w:cs="Arial"/>
          <w:sz w:val="23"/>
          <w:szCs w:val="23"/>
        </w:rPr>
        <w:t>j</w:t>
      </w:r>
      <w:r w:rsidRPr="00BE46D8">
        <w:rPr>
          <w:rFonts w:ascii="Arial" w:hAnsi="Arial" w:cs="Arial"/>
          <w:sz w:val="23"/>
          <w:szCs w:val="23"/>
        </w:rPr>
        <w:t xml:space="preserve">ungiamosios trasos veikimo duomenis ir vartotojų poreikį. </w:t>
      </w:r>
      <w:r w:rsidR="003A03BD">
        <w:rPr>
          <w:rFonts w:ascii="Arial" w:hAnsi="Arial" w:cs="Arial"/>
          <w:sz w:val="23"/>
          <w:szCs w:val="23"/>
        </w:rPr>
        <w:t xml:space="preserve">Pagrindinė užduoties prielaida – maksimalus Lentpjūvės g. katilinėje esančių įrenginių išnaudojimas, trūkstamą šilumos energijos kiekį gaminant UAB Plungės bioenergija turimais biokuro įrenginiais. </w:t>
      </w:r>
      <w:r w:rsidRPr="00BE46D8">
        <w:rPr>
          <w:rFonts w:ascii="Arial" w:hAnsi="Arial" w:cs="Arial"/>
          <w:sz w:val="23"/>
          <w:szCs w:val="23"/>
        </w:rPr>
        <w:t>Gautas sekantis rezultatas:</w:t>
      </w:r>
    </w:p>
    <w:tbl>
      <w:tblPr>
        <w:tblStyle w:val="Lentelstinklelis"/>
        <w:tblW w:w="0" w:type="auto"/>
        <w:tblLook w:val="04A0" w:firstRow="1" w:lastRow="0" w:firstColumn="1" w:lastColumn="0" w:noHBand="0" w:noVBand="1"/>
      </w:tblPr>
      <w:tblGrid>
        <w:gridCol w:w="1555"/>
        <w:gridCol w:w="817"/>
        <w:gridCol w:w="924"/>
        <w:gridCol w:w="2086"/>
        <w:gridCol w:w="2268"/>
        <w:gridCol w:w="1952"/>
      </w:tblGrid>
      <w:tr w:rsidR="00EB7952" w:rsidRPr="001965D2" w:rsidTr="003A03BD">
        <w:trPr>
          <w:trHeight w:val="915"/>
        </w:trPr>
        <w:tc>
          <w:tcPr>
            <w:tcW w:w="3296" w:type="dxa"/>
            <w:gridSpan w:val="3"/>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Grafikas</w:t>
            </w:r>
          </w:p>
        </w:tc>
        <w:tc>
          <w:tcPr>
            <w:tcW w:w="2086"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Lentpjūvės g. katilinė (modeliavimas)</w:t>
            </w:r>
          </w:p>
        </w:tc>
        <w:tc>
          <w:tcPr>
            <w:tcW w:w="2268"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 xml:space="preserve">V. Mačernio g. katilinė </w:t>
            </w:r>
            <w:r>
              <w:rPr>
                <w:rFonts w:ascii="Arial" w:hAnsi="Arial" w:cs="Arial"/>
                <w:sz w:val="20"/>
                <w:szCs w:val="20"/>
              </w:rPr>
              <w:t xml:space="preserve">(NŠG biokuro katilai) </w:t>
            </w:r>
            <w:r w:rsidRPr="001965D2">
              <w:rPr>
                <w:rFonts w:ascii="Arial" w:hAnsi="Arial" w:cs="Arial"/>
                <w:sz w:val="20"/>
                <w:szCs w:val="20"/>
              </w:rPr>
              <w:t>(modeliavimas)</w:t>
            </w:r>
          </w:p>
        </w:tc>
        <w:tc>
          <w:tcPr>
            <w:tcW w:w="1952"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Viso tinklo (modeliavimas)</w:t>
            </w:r>
          </w:p>
        </w:tc>
      </w:tr>
      <w:tr w:rsidR="00EB7952" w:rsidRPr="001965D2" w:rsidTr="003A03BD">
        <w:trPr>
          <w:trHeight w:val="915"/>
        </w:trPr>
        <w:tc>
          <w:tcPr>
            <w:tcW w:w="1555"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Lauko oro temperatūra</w:t>
            </w:r>
            <w:r w:rsidRPr="001965D2">
              <w:rPr>
                <w:rFonts w:ascii="Arial" w:hAnsi="Arial" w:cs="Arial"/>
                <w:sz w:val="20"/>
                <w:szCs w:val="20"/>
              </w:rPr>
              <w:br/>
              <w:t>Tl.o. (°C)</w:t>
            </w:r>
          </w:p>
        </w:tc>
        <w:tc>
          <w:tcPr>
            <w:tcW w:w="817"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T1 (°C)</w:t>
            </w:r>
          </w:p>
        </w:tc>
        <w:tc>
          <w:tcPr>
            <w:tcW w:w="924"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T2 (°C)</w:t>
            </w:r>
          </w:p>
        </w:tc>
        <w:tc>
          <w:tcPr>
            <w:tcW w:w="2086"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Galia (MW)</w:t>
            </w:r>
          </w:p>
        </w:tc>
        <w:tc>
          <w:tcPr>
            <w:tcW w:w="2268"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Galia (MW)</w:t>
            </w:r>
          </w:p>
        </w:tc>
        <w:tc>
          <w:tcPr>
            <w:tcW w:w="1952" w:type="dxa"/>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Galia (MW)</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70</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4,40</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1,55</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5,95</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70</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4,80</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3,18</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7,98</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71,1</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5,30</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4,71</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10,01</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76,5</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46</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5,88</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6,25</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12,13</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82</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49</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6,55</w:t>
            </w:r>
          </w:p>
        </w:tc>
        <w:tc>
          <w:tcPr>
            <w:tcW w:w="2268"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7,69</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14,24</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-15</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87,4</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7,20</w:t>
            </w:r>
          </w:p>
        </w:tc>
        <w:tc>
          <w:tcPr>
            <w:tcW w:w="2268" w:type="dxa"/>
            <w:noWrap/>
            <w:hideMark/>
          </w:tcPr>
          <w:p w:rsidR="00EB7952" w:rsidRPr="001965D2" w:rsidRDefault="00EB7952" w:rsidP="00052E7C">
            <w:pPr>
              <w:spacing w:after="120"/>
              <w:jc w:val="both"/>
              <w:rPr>
                <w:rFonts w:ascii="Arial" w:hAnsi="Arial" w:cs="Arial"/>
                <w:b/>
                <w:bCs/>
                <w:color w:val="FF0000"/>
                <w:sz w:val="20"/>
                <w:szCs w:val="20"/>
              </w:rPr>
            </w:pPr>
            <w:r w:rsidRPr="001965D2">
              <w:rPr>
                <w:rFonts w:ascii="Arial" w:hAnsi="Arial" w:cs="Arial"/>
                <w:b/>
                <w:bCs/>
                <w:color w:val="FF0000"/>
                <w:sz w:val="20"/>
                <w:szCs w:val="20"/>
              </w:rPr>
              <w:t>9,15</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16,35</w:t>
            </w:r>
          </w:p>
        </w:tc>
      </w:tr>
      <w:tr w:rsidR="00EB7952" w:rsidRPr="001965D2" w:rsidTr="003A03BD">
        <w:trPr>
          <w:trHeight w:val="300"/>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-20</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92,8</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55</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7,90</w:t>
            </w:r>
          </w:p>
        </w:tc>
        <w:tc>
          <w:tcPr>
            <w:tcW w:w="2268" w:type="dxa"/>
            <w:noWrap/>
            <w:hideMark/>
          </w:tcPr>
          <w:p w:rsidR="00EB7952" w:rsidRPr="001965D2" w:rsidRDefault="00EB7952" w:rsidP="00052E7C">
            <w:pPr>
              <w:spacing w:after="120"/>
              <w:jc w:val="both"/>
              <w:rPr>
                <w:rFonts w:ascii="Arial" w:hAnsi="Arial" w:cs="Arial"/>
                <w:b/>
                <w:bCs/>
                <w:color w:val="FF0000"/>
                <w:sz w:val="20"/>
                <w:szCs w:val="20"/>
              </w:rPr>
            </w:pPr>
            <w:r w:rsidRPr="001965D2">
              <w:rPr>
                <w:rFonts w:ascii="Arial" w:hAnsi="Arial" w:cs="Arial"/>
                <w:b/>
                <w:bCs/>
                <w:color w:val="FF0000"/>
                <w:sz w:val="20"/>
                <w:szCs w:val="20"/>
              </w:rPr>
              <w:t>10,56</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18,46</w:t>
            </w:r>
          </w:p>
        </w:tc>
      </w:tr>
      <w:tr w:rsidR="00EB7952" w:rsidRPr="001965D2" w:rsidTr="003A03BD">
        <w:trPr>
          <w:trHeight w:val="315"/>
        </w:trPr>
        <w:tc>
          <w:tcPr>
            <w:tcW w:w="1555"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-23</w:t>
            </w:r>
          </w:p>
        </w:tc>
        <w:tc>
          <w:tcPr>
            <w:tcW w:w="817"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95</w:t>
            </w:r>
          </w:p>
        </w:tc>
        <w:tc>
          <w:tcPr>
            <w:tcW w:w="924"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56,2</w:t>
            </w:r>
          </w:p>
        </w:tc>
        <w:tc>
          <w:tcPr>
            <w:tcW w:w="2086"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8,20</w:t>
            </w:r>
          </w:p>
        </w:tc>
        <w:tc>
          <w:tcPr>
            <w:tcW w:w="2268" w:type="dxa"/>
            <w:noWrap/>
            <w:hideMark/>
          </w:tcPr>
          <w:p w:rsidR="00EB7952" w:rsidRPr="001965D2" w:rsidRDefault="00EB7952" w:rsidP="00052E7C">
            <w:pPr>
              <w:spacing w:after="120"/>
              <w:jc w:val="both"/>
              <w:rPr>
                <w:rFonts w:ascii="Arial" w:hAnsi="Arial" w:cs="Arial"/>
                <w:b/>
                <w:bCs/>
                <w:color w:val="FF0000"/>
                <w:sz w:val="20"/>
                <w:szCs w:val="20"/>
              </w:rPr>
            </w:pPr>
            <w:r w:rsidRPr="001965D2">
              <w:rPr>
                <w:rFonts w:ascii="Arial" w:hAnsi="Arial" w:cs="Arial"/>
                <w:b/>
                <w:bCs/>
                <w:color w:val="FF0000"/>
                <w:sz w:val="20"/>
                <w:szCs w:val="20"/>
              </w:rPr>
              <w:t>11,51</w:t>
            </w:r>
          </w:p>
        </w:tc>
        <w:tc>
          <w:tcPr>
            <w:tcW w:w="1952" w:type="dxa"/>
            <w:noWrap/>
            <w:hideMark/>
          </w:tcPr>
          <w:p w:rsidR="00EB7952" w:rsidRPr="001965D2" w:rsidRDefault="00EB7952" w:rsidP="00052E7C">
            <w:pPr>
              <w:spacing w:after="120"/>
              <w:jc w:val="both"/>
              <w:rPr>
                <w:rFonts w:ascii="Arial" w:hAnsi="Arial" w:cs="Arial"/>
                <w:sz w:val="20"/>
                <w:szCs w:val="20"/>
              </w:rPr>
            </w:pPr>
            <w:r w:rsidRPr="001965D2">
              <w:rPr>
                <w:rFonts w:ascii="Arial" w:hAnsi="Arial" w:cs="Arial"/>
                <w:sz w:val="20"/>
                <w:szCs w:val="20"/>
              </w:rPr>
              <w:t>19,71</w:t>
            </w:r>
          </w:p>
        </w:tc>
      </w:tr>
    </w:tbl>
    <w:p w:rsidR="00EB7952" w:rsidRDefault="00EB7952" w:rsidP="00EB7952">
      <w:pPr>
        <w:spacing w:before="120" w:after="120" w:line="240" w:lineRule="auto"/>
        <w:jc w:val="both"/>
        <w:rPr>
          <w:rFonts w:ascii="Arial" w:hAnsi="Arial" w:cs="Arial"/>
          <w:sz w:val="23"/>
          <w:szCs w:val="23"/>
        </w:rPr>
      </w:pPr>
      <w:r w:rsidRPr="00BE46D8">
        <w:rPr>
          <w:rFonts w:ascii="Arial" w:hAnsi="Arial" w:cs="Arial"/>
          <w:sz w:val="23"/>
          <w:szCs w:val="23"/>
        </w:rPr>
        <w:t>Taigi</w:t>
      </w:r>
      <w:r w:rsidR="0050022A">
        <w:rPr>
          <w:rFonts w:ascii="Arial" w:hAnsi="Arial" w:cs="Arial"/>
          <w:sz w:val="23"/>
          <w:szCs w:val="23"/>
        </w:rPr>
        <w:t xml:space="preserve"> Plungės mieste </w:t>
      </w:r>
      <w:r w:rsidRPr="00BE46D8">
        <w:rPr>
          <w:rFonts w:ascii="Arial" w:hAnsi="Arial" w:cs="Arial"/>
          <w:sz w:val="23"/>
          <w:szCs w:val="23"/>
        </w:rPr>
        <w:t>prie -15 lauko temperatūros pradeda trūkti</w:t>
      </w:r>
      <w:r w:rsidR="0050022A">
        <w:rPr>
          <w:rFonts w:ascii="Arial" w:hAnsi="Arial" w:cs="Arial"/>
          <w:sz w:val="23"/>
          <w:szCs w:val="23"/>
        </w:rPr>
        <w:t xml:space="preserve"> bendrai (Bendrovės ir UAB „Plungės bioenergijos“) instaliuotos</w:t>
      </w:r>
      <w:r w:rsidRPr="00BE46D8">
        <w:rPr>
          <w:rFonts w:ascii="Arial" w:hAnsi="Arial" w:cs="Arial"/>
          <w:sz w:val="23"/>
          <w:szCs w:val="23"/>
        </w:rPr>
        <w:t xml:space="preserve"> biokuro įrenginių galios tam, kad užtikrinti viso miesto poreikius. Pikinis viso miesto poreikis šildymo sezono metu yra 19,71 MW</w:t>
      </w:r>
      <w:r w:rsidR="003A03BD">
        <w:rPr>
          <w:rFonts w:ascii="Arial" w:hAnsi="Arial" w:cs="Arial"/>
          <w:sz w:val="23"/>
          <w:szCs w:val="23"/>
        </w:rPr>
        <w:t>h</w:t>
      </w:r>
      <w:r w:rsidRPr="00BE46D8">
        <w:rPr>
          <w:rFonts w:ascii="Arial" w:hAnsi="Arial" w:cs="Arial"/>
          <w:sz w:val="23"/>
          <w:szCs w:val="23"/>
        </w:rPr>
        <w:t xml:space="preserve">, tuo tarpu </w:t>
      </w:r>
      <w:r w:rsidR="0050022A">
        <w:rPr>
          <w:rFonts w:ascii="Arial" w:hAnsi="Arial" w:cs="Arial"/>
          <w:sz w:val="23"/>
          <w:szCs w:val="23"/>
        </w:rPr>
        <w:t>bendrai Bendrovė ir UAB „Plungės bioenergija“ gali patiekti šiek tiek daugiau nei 16 MW</w:t>
      </w:r>
      <w:r w:rsidR="003A03BD">
        <w:rPr>
          <w:rFonts w:ascii="Arial" w:hAnsi="Arial" w:cs="Arial"/>
          <w:sz w:val="23"/>
          <w:szCs w:val="23"/>
        </w:rPr>
        <w:t>h</w:t>
      </w:r>
      <w:r w:rsidR="0050022A">
        <w:rPr>
          <w:rFonts w:ascii="Arial" w:hAnsi="Arial" w:cs="Arial"/>
          <w:sz w:val="23"/>
          <w:szCs w:val="23"/>
        </w:rPr>
        <w:t xml:space="preserve">. Taigi piko metu, trūkstamas šilumos energijos kiekis turės būti dengiamas gamtinių dujų katilais ir skaičiuojama, kad gamtinių dujų poreikis šildymo sezono metu Plungės miestui sudarys apie </w:t>
      </w:r>
      <w:r w:rsidR="00EB6B15">
        <w:rPr>
          <w:rFonts w:ascii="Arial" w:hAnsi="Arial" w:cs="Arial"/>
          <w:sz w:val="23"/>
          <w:szCs w:val="23"/>
        </w:rPr>
        <w:t>1500 MWh.</w:t>
      </w:r>
    </w:p>
    <w:p w:rsidR="00EB6B15" w:rsidRDefault="00EB6B15" w:rsidP="00EB7952">
      <w:pPr>
        <w:spacing w:before="120" w:after="120" w:line="240" w:lineRule="auto"/>
        <w:jc w:val="both"/>
        <w:rPr>
          <w:rFonts w:ascii="Arial" w:hAnsi="Arial" w:cs="Arial"/>
          <w:sz w:val="23"/>
          <w:szCs w:val="23"/>
        </w:rPr>
      </w:pPr>
      <w:r>
        <w:rPr>
          <w:rFonts w:ascii="Arial" w:hAnsi="Arial" w:cs="Arial"/>
          <w:sz w:val="23"/>
          <w:szCs w:val="23"/>
        </w:rPr>
        <w:t xml:space="preserve">Nepaisant to, gauta Lietuvos energetikos instituto analizė įrodo, kad dėl jungiamosios trasos Plungės miesto CŠT sistemoje gamtinių dujų poreikis sumažėjo nuo </w:t>
      </w:r>
      <w:r w:rsidR="0053021E">
        <w:rPr>
          <w:rFonts w:ascii="Arial" w:hAnsi="Arial" w:cs="Arial"/>
          <w:sz w:val="23"/>
          <w:szCs w:val="23"/>
        </w:rPr>
        <w:t>15</w:t>
      </w:r>
      <w:r>
        <w:rPr>
          <w:rFonts w:ascii="Arial" w:hAnsi="Arial" w:cs="Arial"/>
          <w:sz w:val="23"/>
          <w:szCs w:val="23"/>
        </w:rPr>
        <w:t xml:space="preserve"> tūkst. iki 1,5 tūkst., t.y. </w:t>
      </w:r>
      <w:r w:rsidR="0053021E">
        <w:rPr>
          <w:rFonts w:ascii="Arial" w:hAnsi="Arial" w:cs="Arial"/>
          <w:sz w:val="23"/>
          <w:szCs w:val="23"/>
        </w:rPr>
        <w:t>maždaug 10</w:t>
      </w:r>
      <w:r>
        <w:rPr>
          <w:rFonts w:ascii="Arial" w:hAnsi="Arial" w:cs="Arial"/>
          <w:sz w:val="23"/>
          <w:szCs w:val="23"/>
        </w:rPr>
        <w:t xml:space="preserve"> kartų. Atitinkamai, galutinėje šilumos kainoje vartotojams dar šį šildymo sezoną bus skaičiuojama nebe 32,8 proc. gamtinių dujų, o tik apie 8 proc.</w:t>
      </w:r>
      <w:r w:rsidR="00BC3E6B">
        <w:rPr>
          <w:rFonts w:ascii="Arial" w:hAnsi="Arial" w:cs="Arial"/>
          <w:sz w:val="23"/>
          <w:szCs w:val="23"/>
        </w:rPr>
        <w:t xml:space="preserve"> Dabartinėmis kainomis, kai SM2 skiedros ir gamtinių dujų kaina skiriasi apie 180 Eur/MWh, </w:t>
      </w:r>
      <w:r w:rsidR="007D392D" w:rsidRPr="00C467A3">
        <w:rPr>
          <w:rFonts w:ascii="Arial" w:hAnsi="Arial" w:cs="Arial"/>
          <w:b/>
          <w:bCs/>
          <w:sz w:val="23"/>
          <w:szCs w:val="23"/>
        </w:rPr>
        <w:t xml:space="preserve">jungiamoji trasa </w:t>
      </w:r>
      <w:r w:rsidR="00BC3E6B" w:rsidRPr="00C467A3">
        <w:rPr>
          <w:rFonts w:ascii="Arial" w:hAnsi="Arial" w:cs="Arial"/>
          <w:b/>
          <w:bCs/>
          <w:sz w:val="23"/>
          <w:szCs w:val="23"/>
        </w:rPr>
        <w:t xml:space="preserve">leis Bendrovei sutaupyti </w:t>
      </w:r>
      <w:r w:rsidR="007D392D" w:rsidRPr="00C467A3">
        <w:rPr>
          <w:rFonts w:ascii="Arial" w:hAnsi="Arial" w:cs="Arial"/>
          <w:b/>
          <w:bCs/>
          <w:sz w:val="23"/>
          <w:szCs w:val="23"/>
        </w:rPr>
        <w:t xml:space="preserve">apie </w:t>
      </w:r>
      <w:r w:rsidR="00BC3E6B" w:rsidRPr="00C467A3">
        <w:rPr>
          <w:rFonts w:ascii="Arial" w:hAnsi="Arial" w:cs="Arial"/>
          <w:b/>
          <w:bCs/>
          <w:sz w:val="23"/>
          <w:szCs w:val="23"/>
        </w:rPr>
        <w:t>2,</w:t>
      </w:r>
      <w:r w:rsidR="0053021E" w:rsidRPr="00C467A3">
        <w:rPr>
          <w:rFonts w:ascii="Arial" w:hAnsi="Arial" w:cs="Arial"/>
          <w:b/>
          <w:bCs/>
          <w:sz w:val="23"/>
          <w:szCs w:val="23"/>
        </w:rPr>
        <w:t>43</w:t>
      </w:r>
      <w:r w:rsidR="00BC3E6B" w:rsidRPr="00C467A3">
        <w:rPr>
          <w:rFonts w:ascii="Arial" w:hAnsi="Arial" w:cs="Arial"/>
          <w:b/>
          <w:bCs/>
          <w:sz w:val="23"/>
          <w:szCs w:val="23"/>
        </w:rPr>
        <w:t xml:space="preserve"> mln. Eur.</w:t>
      </w:r>
      <w:r w:rsidR="007D392D" w:rsidRPr="00C467A3">
        <w:rPr>
          <w:rFonts w:ascii="Arial" w:hAnsi="Arial" w:cs="Arial"/>
          <w:b/>
          <w:bCs/>
          <w:sz w:val="23"/>
          <w:szCs w:val="23"/>
        </w:rPr>
        <w:t xml:space="preserve"> kuro sąnaudų 2022/2023 šildymo sezono metu</w:t>
      </w:r>
      <w:r w:rsidR="007D392D">
        <w:rPr>
          <w:rFonts w:ascii="Arial" w:hAnsi="Arial" w:cs="Arial"/>
          <w:sz w:val="23"/>
          <w:szCs w:val="23"/>
        </w:rPr>
        <w:t>.</w:t>
      </w:r>
    </w:p>
    <w:p w:rsidR="00EB6B15" w:rsidRDefault="00040692" w:rsidP="00B638A8">
      <w:pPr>
        <w:spacing w:before="120" w:after="120" w:line="240" w:lineRule="auto"/>
        <w:jc w:val="both"/>
        <w:rPr>
          <w:rFonts w:ascii="Arial" w:hAnsi="Arial" w:cs="Arial"/>
          <w:sz w:val="23"/>
          <w:szCs w:val="23"/>
        </w:rPr>
      </w:pPr>
      <w:r>
        <w:rPr>
          <w:rFonts w:ascii="Arial" w:hAnsi="Arial" w:cs="Arial"/>
          <w:sz w:val="23"/>
          <w:szCs w:val="23"/>
        </w:rPr>
        <w:t>Taip pat ruošiantis šildymo sezonui buvo skirtas didžiulis dėmesys elektros energijos sąnaudoms ir technologiniams nuostoliams trasose po jungiamosios trasos projekto įgyvendinimo.</w:t>
      </w:r>
    </w:p>
    <w:p w:rsidR="00040692" w:rsidRDefault="00040692" w:rsidP="00EB7952">
      <w:pPr>
        <w:spacing w:before="120" w:after="120" w:line="240" w:lineRule="auto"/>
        <w:jc w:val="both"/>
        <w:rPr>
          <w:rFonts w:ascii="Arial" w:hAnsi="Arial" w:cs="Arial"/>
          <w:sz w:val="23"/>
          <w:szCs w:val="23"/>
        </w:rPr>
      </w:pPr>
      <w:r>
        <w:rPr>
          <w:rFonts w:ascii="Arial" w:hAnsi="Arial" w:cs="Arial"/>
          <w:sz w:val="23"/>
          <w:szCs w:val="23"/>
        </w:rPr>
        <w:t>Lyginant</w:t>
      </w:r>
      <w:r w:rsidR="00956C6D">
        <w:rPr>
          <w:rFonts w:ascii="Arial" w:hAnsi="Arial" w:cs="Arial"/>
          <w:sz w:val="23"/>
          <w:szCs w:val="23"/>
        </w:rPr>
        <w:t xml:space="preserve"> keturių</w:t>
      </w:r>
      <w:r>
        <w:rPr>
          <w:rFonts w:ascii="Arial" w:hAnsi="Arial" w:cs="Arial"/>
          <w:sz w:val="23"/>
          <w:szCs w:val="23"/>
        </w:rPr>
        <w:t xml:space="preserve"> pastarųjų metų</w:t>
      </w:r>
      <w:r w:rsidR="00C438AA">
        <w:rPr>
          <w:rStyle w:val="Puslapioinaosnuoroda"/>
          <w:rFonts w:ascii="Arial" w:hAnsi="Arial" w:cs="Arial"/>
          <w:sz w:val="23"/>
          <w:szCs w:val="23"/>
        </w:rPr>
        <w:footnoteReference w:id="2"/>
      </w:r>
      <w:r>
        <w:rPr>
          <w:rFonts w:ascii="Arial" w:hAnsi="Arial" w:cs="Arial"/>
          <w:sz w:val="23"/>
          <w:szCs w:val="23"/>
        </w:rPr>
        <w:t xml:space="preserve"> (</w:t>
      </w:r>
      <w:r w:rsidR="00956C6D">
        <w:rPr>
          <w:rFonts w:ascii="Arial" w:hAnsi="Arial" w:cs="Arial"/>
          <w:sz w:val="23"/>
          <w:szCs w:val="23"/>
        </w:rPr>
        <w:t xml:space="preserve">2019, </w:t>
      </w:r>
      <w:r>
        <w:rPr>
          <w:rFonts w:ascii="Arial" w:hAnsi="Arial" w:cs="Arial"/>
          <w:sz w:val="23"/>
          <w:szCs w:val="23"/>
        </w:rPr>
        <w:t>2020, 2021 ir 2022) birželio, liepos ir rugpjūčio</w:t>
      </w:r>
      <w:r w:rsidR="003D1275">
        <w:rPr>
          <w:rStyle w:val="Puslapioinaosnuoroda"/>
          <w:rFonts w:ascii="Arial" w:hAnsi="Arial" w:cs="Arial"/>
          <w:sz w:val="23"/>
          <w:szCs w:val="23"/>
        </w:rPr>
        <w:footnoteReference w:id="3"/>
      </w:r>
      <w:r>
        <w:rPr>
          <w:rFonts w:ascii="Arial" w:hAnsi="Arial" w:cs="Arial"/>
          <w:sz w:val="23"/>
          <w:szCs w:val="23"/>
        </w:rPr>
        <w:t xml:space="preserve"> mėnesių gamybinius </w:t>
      </w:r>
      <w:r w:rsidR="004D64B0" w:rsidRPr="00684B64">
        <w:rPr>
          <w:rFonts w:ascii="Arial" w:hAnsi="Arial" w:cs="Arial"/>
          <w:b/>
          <w:bCs/>
          <w:sz w:val="23"/>
          <w:szCs w:val="23"/>
        </w:rPr>
        <w:t>elektros</w:t>
      </w:r>
      <w:r w:rsidR="004D64B0">
        <w:rPr>
          <w:rFonts w:ascii="Arial" w:hAnsi="Arial" w:cs="Arial"/>
          <w:sz w:val="23"/>
          <w:szCs w:val="23"/>
        </w:rPr>
        <w:t xml:space="preserve"> suvartojimo </w:t>
      </w:r>
      <w:r>
        <w:rPr>
          <w:rFonts w:ascii="Arial" w:hAnsi="Arial" w:cs="Arial"/>
          <w:sz w:val="23"/>
          <w:szCs w:val="23"/>
        </w:rPr>
        <w:t>rodiklius, gauti sekantys rezultatai:</w:t>
      </w:r>
    </w:p>
    <w:tbl>
      <w:tblPr>
        <w:tblStyle w:val="Lentelstinklelis"/>
        <w:tblW w:w="0" w:type="auto"/>
        <w:jc w:val="center"/>
        <w:tblLook w:val="04A0" w:firstRow="1" w:lastRow="0" w:firstColumn="1" w:lastColumn="0" w:noHBand="0" w:noVBand="1"/>
      </w:tblPr>
      <w:tblGrid>
        <w:gridCol w:w="2218"/>
        <w:gridCol w:w="1753"/>
        <w:gridCol w:w="1992"/>
        <w:gridCol w:w="1893"/>
        <w:gridCol w:w="1772"/>
      </w:tblGrid>
      <w:tr w:rsidR="00C438AA" w:rsidTr="00BE3BC3">
        <w:trPr>
          <w:jc w:val="center"/>
        </w:trPr>
        <w:tc>
          <w:tcPr>
            <w:tcW w:w="2218" w:type="dxa"/>
          </w:tcPr>
          <w:p w:rsidR="00C438AA" w:rsidRPr="0059210F" w:rsidRDefault="00C438AA" w:rsidP="00E67228">
            <w:pPr>
              <w:jc w:val="right"/>
              <w:rPr>
                <w:rFonts w:ascii="Arial" w:hAnsi="Arial" w:cs="Arial"/>
                <w:sz w:val="20"/>
                <w:szCs w:val="20"/>
              </w:rPr>
            </w:pPr>
          </w:p>
        </w:tc>
        <w:tc>
          <w:tcPr>
            <w:tcW w:w="1753" w:type="dxa"/>
          </w:tcPr>
          <w:p w:rsidR="00C467A3" w:rsidRPr="0059210F" w:rsidRDefault="00C438AA" w:rsidP="00E67228">
            <w:pPr>
              <w:jc w:val="both"/>
              <w:rPr>
                <w:rFonts w:ascii="Arial" w:hAnsi="Arial" w:cs="Arial"/>
                <w:b/>
                <w:bCs/>
                <w:sz w:val="20"/>
                <w:szCs w:val="20"/>
              </w:rPr>
            </w:pPr>
            <w:r w:rsidRPr="0059210F">
              <w:rPr>
                <w:rFonts w:ascii="Arial" w:hAnsi="Arial" w:cs="Arial"/>
                <w:b/>
                <w:bCs/>
                <w:sz w:val="20"/>
                <w:szCs w:val="20"/>
              </w:rPr>
              <w:t>2019</w:t>
            </w:r>
            <w:r w:rsidR="00172CCE" w:rsidRPr="0059210F">
              <w:rPr>
                <w:rFonts w:ascii="Arial" w:hAnsi="Arial" w:cs="Arial"/>
                <w:b/>
                <w:bCs/>
                <w:sz w:val="20"/>
                <w:szCs w:val="20"/>
              </w:rPr>
              <w:t xml:space="preserve"> </w:t>
            </w:r>
            <w:r w:rsidR="00C467A3" w:rsidRPr="0059210F">
              <w:rPr>
                <w:rFonts w:ascii="Arial" w:hAnsi="Arial" w:cs="Arial"/>
                <w:b/>
                <w:bCs/>
                <w:sz w:val="20"/>
                <w:szCs w:val="20"/>
              </w:rPr>
              <w:t xml:space="preserve">/ </w:t>
            </w:r>
          </w:p>
          <w:p w:rsidR="00C438AA"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c>
          <w:tcPr>
            <w:tcW w:w="1992" w:type="dxa"/>
          </w:tcPr>
          <w:p w:rsidR="00C438AA" w:rsidRPr="0059210F" w:rsidRDefault="00C438AA" w:rsidP="00E67228">
            <w:pPr>
              <w:jc w:val="both"/>
              <w:rPr>
                <w:rFonts w:ascii="Arial" w:hAnsi="Arial" w:cs="Arial"/>
                <w:b/>
                <w:bCs/>
                <w:sz w:val="20"/>
                <w:szCs w:val="20"/>
              </w:rPr>
            </w:pPr>
            <w:r w:rsidRPr="0059210F">
              <w:rPr>
                <w:rFonts w:ascii="Arial" w:hAnsi="Arial" w:cs="Arial"/>
                <w:b/>
                <w:bCs/>
                <w:sz w:val="20"/>
                <w:szCs w:val="20"/>
              </w:rPr>
              <w:t>2020</w:t>
            </w:r>
            <w:r w:rsidR="00172CCE" w:rsidRPr="0059210F">
              <w:rPr>
                <w:rFonts w:ascii="Arial" w:hAnsi="Arial" w:cs="Arial"/>
                <w:b/>
                <w:bCs/>
                <w:sz w:val="20"/>
                <w:szCs w:val="20"/>
              </w:rPr>
              <w:t xml:space="preserve"> </w:t>
            </w:r>
            <w:r w:rsidR="00C467A3" w:rsidRPr="0059210F">
              <w:rPr>
                <w:rFonts w:ascii="Arial" w:hAnsi="Arial" w:cs="Arial"/>
                <w:b/>
                <w:bCs/>
                <w:sz w:val="20"/>
                <w:szCs w:val="20"/>
              </w:rPr>
              <w:t>/</w:t>
            </w:r>
          </w:p>
          <w:p w:rsidR="00C467A3"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c>
          <w:tcPr>
            <w:tcW w:w="1893" w:type="dxa"/>
          </w:tcPr>
          <w:p w:rsidR="00C438AA" w:rsidRPr="0059210F" w:rsidRDefault="00C438AA" w:rsidP="00E67228">
            <w:pPr>
              <w:jc w:val="both"/>
              <w:rPr>
                <w:rFonts w:ascii="Arial" w:hAnsi="Arial" w:cs="Arial"/>
                <w:b/>
                <w:bCs/>
                <w:sz w:val="20"/>
                <w:szCs w:val="20"/>
              </w:rPr>
            </w:pPr>
            <w:r w:rsidRPr="0059210F">
              <w:rPr>
                <w:rFonts w:ascii="Arial" w:hAnsi="Arial" w:cs="Arial"/>
                <w:b/>
                <w:bCs/>
                <w:sz w:val="20"/>
                <w:szCs w:val="20"/>
              </w:rPr>
              <w:t>2021</w:t>
            </w:r>
            <w:r w:rsidR="00172CCE" w:rsidRPr="0059210F">
              <w:rPr>
                <w:rFonts w:ascii="Arial" w:hAnsi="Arial" w:cs="Arial"/>
                <w:b/>
                <w:bCs/>
                <w:sz w:val="20"/>
                <w:szCs w:val="20"/>
              </w:rPr>
              <w:t xml:space="preserve"> </w:t>
            </w:r>
            <w:r w:rsidR="00C467A3" w:rsidRPr="0059210F">
              <w:rPr>
                <w:rFonts w:ascii="Arial" w:hAnsi="Arial" w:cs="Arial"/>
                <w:b/>
                <w:bCs/>
                <w:sz w:val="20"/>
                <w:szCs w:val="20"/>
              </w:rPr>
              <w:t>/</w:t>
            </w:r>
          </w:p>
          <w:p w:rsidR="00C467A3"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c>
          <w:tcPr>
            <w:tcW w:w="1772" w:type="dxa"/>
          </w:tcPr>
          <w:p w:rsidR="00C438AA" w:rsidRPr="0059210F" w:rsidRDefault="00C438AA" w:rsidP="00E67228">
            <w:pPr>
              <w:jc w:val="both"/>
              <w:rPr>
                <w:rFonts w:ascii="Arial" w:hAnsi="Arial" w:cs="Arial"/>
                <w:b/>
                <w:bCs/>
                <w:sz w:val="20"/>
                <w:szCs w:val="20"/>
              </w:rPr>
            </w:pPr>
            <w:r w:rsidRPr="0059210F">
              <w:rPr>
                <w:rFonts w:ascii="Arial" w:hAnsi="Arial" w:cs="Arial"/>
                <w:b/>
                <w:bCs/>
                <w:sz w:val="20"/>
                <w:szCs w:val="20"/>
              </w:rPr>
              <w:t>2022</w:t>
            </w:r>
            <w:r w:rsidR="00172CCE" w:rsidRPr="0059210F">
              <w:rPr>
                <w:rFonts w:ascii="Arial" w:hAnsi="Arial" w:cs="Arial"/>
                <w:b/>
                <w:bCs/>
                <w:sz w:val="20"/>
                <w:szCs w:val="20"/>
              </w:rPr>
              <w:t xml:space="preserve"> </w:t>
            </w:r>
            <w:r w:rsidR="00C467A3" w:rsidRPr="0059210F">
              <w:rPr>
                <w:rFonts w:ascii="Arial" w:hAnsi="Arial" w:cs="Arial"/>
                <w:b/>
                <w:bCs/>
                <w:sz w:val="20"/>
                <w:szCs w:val="20"/>
              </w:rPr>
              <w:t>/</w:t>
            </w:r>
          </w:p>
          <w:p w:rsidR="00C467A3" w:rsidRPr="0059210F" w:rsidRDefault="00C467A3" w:rsidP="00E67228">
            <w:pPr>
              <w:jc w:val="both"/>
              <w:rPr>
                <w:rFonts w:ascii="Arial" w:hAnsi="Arial" w:cs="Arial"/>
                <w:b/>
                <w:bCs/>
                <w:sz w:val="20"/>
                <w:szCs w:val="20"/>
              </w:rPr>
            </w:pPr>
            <w:r w:rsidRPr="0059210F">
              <w:rPr>
                <w:rFonts w:ascii="Arial" w:hAnsi="Arial" w:cs="Arial"/>
                <w:b/>
                <w:bCs/>
                <w:sz w:val="20"/>
                <w:szCs w:val="20"/>
              </w:rPr>
              <w:t>kwh/ MWh</w:t>
            </w:r>
          </w:p>
        </w:tc>
      </w:tr>
      <w:tr w:rsidR="00956C6D" w:rsidTr="00BE3BC3">
        <w:trPr>
          <w:jc w:val="center"/>
        </w:trPr>
        <w:tc>
          <w:tcPr>
            <w:tcW w:w="2218" w:type="dxa"/>
          </w:tcPr>
          <w:p w:rsidR="00956C6D" w:rsidRPr="0059210F" w:rsidRDefault="00956C6D" w:rsidP="00E67228">
            <w:pPr>
              <w:jc w:val="both"/>
              <w:rPr>
                <w:rFonts w:ascii="Arial" w:hAnsi="Arial" w:cs="Arial"/>
                <w:sz w:val="20"/>
                <w:szCs w:val="20"/>
              </w:rPr>
            </w:pPr>
            <w:r w:rsidRPr="0059210F">
              <w:rPr>
                <w:rFonts w:ascii="Arial" w:hAnsi="Arial" w:cs="Arial"/>
                <w:sz w:val="20"/>
                <w:szCs w:val="20"/>
              </w:rPr>
              <w:t>Birželis</w:t>
            </w:r>
          </w:p>
        </w:tc>
        <w:tc>
          <w:tcPr>
            <w:tcW w:w="175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26,95501</w:t>
            </w:r>
          </w:p>
          <w:p w:rsidR="00956C6D" w:rsidRPr="0059210F" w:rsidRDefault="00956C6D" w:rsidP="00E67228">
            <w:pPr>
              <w:jc w:val="both"/>
              <w:rPr>
                <w:rFonts w:ascii="Arial" w:hAnsi="Arial" w:cs="Arial"/>
                <w:color w:val="000000"/>
                <w:sz w:val="20"/>
                <w:szCs w:val="20"/>
              </w:rPr>
            </w:pPr>
          </w:p>
        </w:tc>
        <w:tc>
          <w:tcPr>
            <w:tcW w:w="1992"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19,77296</w:t>
            </w:r>
            <w:r w:rsidRPr="0059210F">
              <w:rPr>
                <w:rStyle w:val="Puslapioinaosnuoroda"/>
                <w:rFonts w:ascii="Arial" w:hAnsi="Arial" w:cs="Arial"/>
                <w:color w:val="000000"/>
                <w:sz w:val="20"/>
                <w:szCs w:val="20"/>
              </w:rPr>
              <w:footnoteReference w:id="4"/>
            </w:r>
          </w:p>
          <w:p w:rsidR="00956C6D" w:rsidRPr="0059210F" w:rsidRDefault="00956C6D" w:rsidP="00E67228">
            <w:pPr>
              <w:jc w:val="both"/>
              <w:rPr>
                <w:rFonts w:ascii="Arial" w:hAnsi="Arial" w:cs="Arial"/>
                <w:sz w:val="20"/>
                <w:szCs w:val="20"/>
              </w:rPr>
            </w:pPr>
          </w:p>
        </w:tc>
        <w:tc>
          <w:tcPr>
            <w:tcW w:w="189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22,446</w:t>
            </w:r>
          </w:p>
          <w:p w:rsidR="00956C6D" w:rsidRPr="0059210F" w:rsidRDefault="00956C6D" w:rsidP="00E67228">
            <w:pPr>
              <w:jc w:val="both"/>
              <w:rPr>
                <w:rFonts w:ascii="Arial" w:hAnsi="Arial" w:cs="Arial"/>
                <w:sz w:val="20"/>
                <w:szCs w:val="20"/>
              </w:rPr>
            </w:pPr>
          </w:p>
        </w:tc>
        <w:tc>
          <w:tcPr>
            <w:tcW w:w="1772" w:type="dxa"/>
          </w:tcPr>
          <w:p w:rsidR="00B833EA" w:rsidRPr="0059210F" w:rsidRDefault="00B833EA" w:rsidP="00E67228">
            <w:pPr>
              <w:jc w:val="both"/>
              <w:rPr>
                <w:rFonts w:ascii="Arial" w:hAnsi="Arial" w:cs="Arial"/>
                <w:color w:val="000000"/>
                <w:sz w:val="20"/>
                <w:szCs w:val="20"/>
              </w:rPr>
            </w:pPr>
            <w:r w:rsidRPr="0059210F">
              <w:rPr>
                <w:rFonts w:ascii="Arial" w:hAnsi="Arial" w:cs="Arial"/>
                <w:color w:val="000000"/>
                <w:sz w:val="20"/>
                <w:szCs w:val="20"/>
              </w:rPr>
              <w:t>20,40168</w:t>
            </w:r>
          </w:p>
          <w:p w:rsidR="00956C6D" w:rsidRPr="0059210F" w:rsidRDefault="00956C6D" w:rsidP="00E67228">
            <w:pPr>
              <w:jc w:val="both"/>
              <w:rPr>
                <w:rFonts w:ascii="Arial" w:hAnsi="Arial" w:cs="Arial"/>
                <w:sz w:val="20"/>
                <w:szCs w:val="20"/>
              </w:rPr>
            </w:pPr>
          </w:p>
        </w:tc>
      </w:tr>
      <w:tr w:rsidR="00956C6D" w:rsidTr="00BE3BC3">
        <w:trPr>
          <w:jc w:val="center"/>
        </w:trPr>
        <w:tc>
          <w:tcPr>
            <w:tcW w:w="2218" w:type="dxa"/>
          </w:tcPr>
          <w:p w:rsidR="00956C6D" w:rsidRPr="0059210F" w:rsidRDefault="00956C6D" w:rsidP="00E67228">
            <w:pPr>
              <w:jc w:val="both"/>
              <w:rPr>
                <w:rFonts w:ascii="Arial" w:hAnsi="Arial" w:cs="Arial"/>
                <w:sz w:val="20"/>
                <w:szCs w:val="20"/>
              </w:rPr>
            </w:pPr>
            <w:r w:rsidRPr="0059210F">
              <w:rPr>
                <w:rFonts w:ascii="Arial" w:hAnsi="Arial" w:cs="Arial"/>
                <w:sz w:val="20"/>
                <w:szCs w:val="20"/>
              </w:rPr>
              <w:t>Liepa</w:t>
            </w:r>
          </w:p>
        </w:tc>
        <w:tc>
          <w:tcPr>
            <w:tcW w:w="175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41,2072</w:t>
            </w:r>
          </w:p>
          <w:p w:rsidR="00956C6D" w:rsidRPr="0059210F" w:rsidRDefault="00956C6D" w:rsidP="00E67228">
            <w:pPr>
              <w:jc w:val="both"/>
              <w:rPr>
                <w:rFonts w:ascii="Arial" w:hAnsi="Arial" w:cs="Arial"/>
                <w:color w:val="000000"/>
                <w:sz w:val="20"/>
                <w:szCs w:val="20"/>
              </w:rPr>
            </w:pPr>
          </w:p>
        </w:tc>
        <w:tc>
          <w:tcPr>
            <w:tcW w:w="1992"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20,98229</w:t>
            </w:r>
          </w:p>
          <w:p w:rsidR="00956C6D" w:rsidRPr="0059210F" w:rsidRDefault="00956C6D" w:rsidP="00E67228">
            <w:pPr>
              <w:jc w:val="both"/>
              <w:rPr>
                <w:rFonts w:ascii="Arial" w:hAnsi="Arial" w:cs="Arial"/>
                <w:sz w:val="20"/>
                <w:szCs w:val="20"/>
              </w:rPr>
            </w:pPr>
          </w:p>
        </w:tc>
        <w:tc>
          <w:tcPr>
            <w:tcW w:w="189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24,7182</w:t>
            </w:r>
          </w:p>
          <w:p w:rsidR="00956C6D" w:rsidRPr="0059210F" w:rsidRDefault="00956C6D" w:rsidP="00E67228">
            <w:pPr>
              <w:jc w:val="both"/>
              <w:rPr>
                <w:rFonts w:ascii="Arial" w:hAnsi="Arial" w:cs="Arial"/>
                <w:sz w:val="20"/>
                <w:szCs w:val="20"/>
              </w:rPr>
            </w:pPr>
          </w:p>
        </w:tc>
        <w:tc>
          <w:tcPr>
            <w:tcW w:w="1772" w:type="dxa"/>
          </w:tcPr>
          <w:p w:rsidR="00B833EA" w:rsidRPr="0059210F" w:rsidRDefault="00B833EA" w:rsidP="00E67228">
            <w:pPr>
              <w:jc w:val="both"/>
              <w:rPr>
                <w:rFonts w:ascii="Arial" w:hAnsi="Arial" w:cs="Arial"/>
                <w:color w:val="000000"/>
                <w:sz w:val="20"/>
                <w:szCs w:val="20"/>
              </w:rPr>
            </w:pPr>
            <w:r w:rsidRPr="0059210F">
              <w:rPr>
                <w:rFonts w:ascii="Arial" w:hAnsi="Arial" w:cs="Arial"/>
                <w:color w:val="000000"/>
                <w:sz w:val="20"/>
                <w:szCs w:val="20"/>
              </w:rPr>
              <w:t>22,10233</w:t>
            </w:r>
          </w:p>
          <w:p w:rsidR="00956C6D" w:rsidRPr="0059210F" w:rsidRDefault="00956C6D" w:rsidP="00E67228">
            <w:pPr>
              <w:jc w:val="both"/>
              <w:rPr>
                <w:rFonts w:ascii="Arial" w:hAnsi="Arial" w:cs="Arial"/>
                <w:sz w:val="20"/>
                <w:szCs w:val="20"/>
              </w:rPr>
            </w:pPr>
          </w:p>
        </w:tc>
      </w:tr>
      <w:tr w:rsidR="00956C6D" w:rsidTr="00BE3BC3">
        <w:trPr>
          <w:jc w:val="center"/>
        </w:trPr>
        <w:tc>
          <w:tcPr>
            <w:tcW w:w="2218" w:type="dxa"/>
          </w:tcPr>
          <w:p w:rsidR="00956C6D" w:rsidRPr="0059210F" w:rsidRDefault="00956C6D" w:rsidP="00E67228">
            <w:pPr>
              <w:jc w:val="both"/>
              <w:rPr>
                <w:rFonts w:ascii="Arial" w:hAnsi="Arial" w:cs="Arial"/>
                <w:sz w:val="20"/>
                <w:szCs w:val="20"/>
              </w:rPr>
            </w:pPr>
            <w:r w:rsidRPr="0059210F">
              <w:rPr>
                <w:rFonts w:ascii="Arial" w:hAnsi="Arial" w:cs="Arial"/>
                <w:sz w:val="20"/>
                <w:szCs w:val="20"/>
              </w:rPr>
              <w:t>Rugpjūtis</w:t>
            </w:r>
          </w:p>
        </w:tc>
        <w:tc>
          <w:tcPr>
            <w:tcW w:w="175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29,97467</w:t>
            </w:r>
          </w:p>
          <w:p w:rsidR="00956C6D" w:rsidRPr="0059210F" w:rsidRDefault="00956C6D" w:rsidP="00E67228">
            <w:pPr>
              <w:jc w:val="both"/>
              <w:rPr>
                <w:rFonts w:ascii="Arial" w:hAnsi="Arial" w:cs="Arial"/>
                <w:color w:val="000000"/>
                <w:sz w:val="20"/>
                <w:szCs w:val="20"/>
              </w:rPr>
            </w:pPr>
          </w:p>
        </w:tc>
        <w:tc>
          <w:tcPr>
            <w:tcW w:w="1992"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19,14541</w:t>
            </w:r>
          </w:p>
          <w:p w:rsidR="00956C6D" w:rsidRPr="0059210F" w:rsidRDefault="00956C6D" w:rsidP="00E67228">
            <w:pPr>
              <w:jc w:val="both"/>
              <w:rPr>
                <w:rFonts w:ascii="Arial" w:hAnsi="Arial" w:cs="Arial"/>
                <w:sz w:val="20"/>
                <w:szCs w:val="20"/>
              </w:rPr>
            </w:pPr>
          </w:p>
        </w:tc>
        <w:tc>
          <w:tcPr>
            <w:tcW w:w="1893" w:type="dxa"/>
          </w:tcPr>
          <w:p w:rsidR="00956C6D" w:rsidRPr="0059210F" w:rsidRDefault="00956C6D" w:rsidP="00E67228">
            <w:pPr>
              <w:jc w:val="both"/>
              <w:rPr>
                <w:rFonts w:ascii="Arial" w:hAnsi="Arial" w:cs="Arial"/>
                <w:color w:val="000000"/>
                <w:sz w:val="20"/>
                <w:szCs w:val="20"/>
              </w:rPr>
            </w:pPr>
            <w:r w:rsidRPr="0059210F">
              <w:rPr>
                <w:rFonts w:ascii="Arial" w:hAnsi="Arial" w:cs="Arial"/>
                <w:color w:val="000000"/>
                <w:sz w:val="20"/>
                <w:szCs w:val="20"/>
              </w:rPr>
              <w:t>22,84677</w:t>
            </w:r>
          </w:p>
          <w:p w:rsidR="00956C6D" w:rsidRPr="0059210F" w:rsidRDefault="00956C6D" w:rsidP="00E67228">
            <w:pPr>
              <w:jc w:val="both"/>
              <w:rPr>
                <w:rFonts w:ascii="Arial" w:hAnsi="Arial" w:cs="Arial"/>
                <w:sz w:val="20"/>
                <w:szCs w:val="20"/>
              </w:rPr>
            </w:pPr>
          </w:p>
        </w:tc>
        <w:tc>
          <w:tcPr>
            <w:tcW w:w="1772" w:type="dxa"/>
          </w:tcPr>
          <w:p w:rsidR="00250485" w:rsidRPr="0059210F" w:rsidRDefault="00684B64" w:rsidP="00E67228">
            <w:pPr>
              <w:jc w:val="both"/>
              <w:rPr>
                <w:rFonts w:ascii="Arial" w:hAnsi="Arial" w:cs="Arial"/>
                <w:sz w:val="20"/>
                <w:szCs w:val="20"/>
              </w:rPr>
            </w:pPr>
            <w:r w:rsidRPr="0059210F">
              <w:rPr>
                <w:rFonts w:ascii="Arial" w:hAnsi="Arial" w:cs="Arial"/>
                <w:sz w:val="20"/>
                <w:szCs w:val="20"/>
              </w:rPr>
              <w:t>25,57229</w:t>
            </w:r>
          </w:p>
          <w:p w:rsidR="00956C6D" w:rsidRPr="0059210F" w:rsidRDefault="00956C6D" w:rsidP="00E67228">
            <w:pPr>
              <w:jc w:val="both"/>
              <w:rPr>
                <w:rFonts w:ascii="Arial" w:hAnsi="Arial" w:cs="Arial"/>
                <w:sz w:val="20"/>
                <w:szCs w:val="20"/>
              </w:rPr>
            </w:pPr>
          </w:p>
        </w:tc>
      </w:tr>
      <w:tr w:rsidR="00E20331" w:rsidTr="00BE3BC3">
        <w:trPr>
          <w:jc w:val="center"/>
        </w:trPr>
        <w:tc>
          <w:tcPr>
            <w:tcW w:w="2218" w:type="dxa"/>
          </w:tcPr>
          <w:p w:rsidR="00E20331" w:rsidRPr="00BE3BC3" w:rsidRDefault="00E20331" w:rsidP="00E20331">
            <w:pPr>
              <w:spacing w:before="120"/>
              <w:jc w:val="right"/>
              <w:rPr>
                <w:rFonts w:ascii="Arial" w:hAnsi="Arial" w:cs="Arial"/>
                <w:b/>
                <w:bCs/>
                <w:sz w:val="20"/>
                <w:szCs w:val="20"/>
              </w:rPr>
            </w:pPr>
            <w:r w:rsidRPr="00BE3BC3">
              <w:rPr>
                <w:rFonts w:ascii="Arial" w:hAnsi="Arial" w:cs="Arial"/>
                <w:b/>
                <w:bCs/>
                <w:sz w:val="20"/>
                <w:szCs w:val="20"/>
              </w:rPr>
              <w:t>Vidurkis kwh</w:t>
            </w:r>
            <w:r w:rsidR="00172CCE" w:rsidRPr="00BE3BC3">
              <w:rPr>
                <w:rFonts w:ascii="Arial" w:hAnsi="Arial" w:cs="Arial"/>
                <w:b/>
                <w:bCs/>
                <w:sz w:val="20"/>
                <w:szCs w:val="20"/>
              </w:rPr>
              <w:t xml:space="preserve"> </w:t>
            </w:r>
            <w:r w:rsidRPr="00BE3BC3">
              <w:rPr>
                <w:rFonts w:ascii="Arial" w:hAnsi="Arial" w:cs="Arial"/>
                <w:b/>
                <w:bCs/>
                <w:sz w:val="20"/>
                <w:szCs w:val="20"/>
              </w:rPr>
              <w:t>/</w:t>
            </w:r>
            <w:r w:rsidR="00172CCE" w:rsidRPr="00BE3BC3">
              <w:rPr>
                <w:rFonts w:ascii="Arial" w:hAnsi="Arial" w:cs="Arial"/>
                <w:b/>
                <w:bCs/>
                <w:sz w:val="20"/>
                <w:szCs w:val="20"/>
              </w:rPr>
              <w:t xml:space="preserve"> </w:t>
            </w:r>
            <w:r w:rsidRPr="00BE3BC3">
              <w:rPr>
                <w:rFonts w:ascii="Arial" w:hAnsi="Arial" w:cs="Arial"/>
                <w:b/>
                <w:bCs/>
                <w:sz w:val="20"/>
                <w:szCs w:val="20"/>
              </w:rPr>
              <w:t>MWh:</w:t>
            </w:r>
          </w:p>
        </w:tc>
        <w:tc>
          <w:tcPr>
            <w:tcW w:w="1753" w:type="dxa"/>
            <w:vAlign w:val="bottom"/>
          </w:tcPr>
          <w:p w:rsidR="00E20331" w:rsidRPr="00BE3BC3" w:rsidRDefault="00BE65EC" w:rsidP="00BE65EC">
            <w:pPr>
              <w:jc w:val="both"/>
              <w:rPr>
                <w:rFonts w:ascii="Arial" w:hAnsi="Arial" w:cs="Arial"/>
                <w:b/>
                <w:bCs/>
                <w:color w:val="000000"/>
                <w:sz w:val="20"/>
                <w:szCs w:val="20"/>
              </w:rPr>
            </w:pPr>
            <w:r w:rsidRPr="00BE3BC3">
              <w:rPr>
                <w:rFonts w:ascii="Arial" w:hAnsi="Arial" w:cs="Arial"/>
                <w:b/>
                <w:bCs/>
                <w:color w:val="000000"/>
                <w:sz w:val="20"/>
                <w:szCs w:val="20"/>
              </w:rPr>
              <w:t>32,71229</w:t>
            </w:r>
          </w:p>
        </w:tc>
        <w:tc>
          <w:tcPr>
            <w:tcW w:w="1992" w:type="dxa"/>
            <w:vAlign w:val="center"/>
          </w:tcPr>
          <w:p w:rsidR="00E20331" w:rsidRPr="00BE3BC3" w:rsidRDefault="00BE3BC3" w:rsidP="00E20331">
            <w:pPr>
              <w:spacing w:before="120"/>
              <w:jc w:val="both"/>
              <w:rPr>
                <w:rFonts w:ascii="Arial" w:hAnsi="Arial" w:cs="Arial"/>
                <w:b/>
                <w:bCs/>
                <w:color w:val="000000"/>
                <w:sz w:val="20"/>
                <w:szCs w:val="20"/>
              </w:rPr>
            </w:pPr>
            <w:r w:rsidRPr="00BE3BC3">
              <w:rPr>
                <w:rFonts w:ascii="Arial" w:hAnsi="Arial" w:cs="Arial"/>
                <w:b/>
                <w:bCs/>
                <w:color w:val="000000"/>
                <w:sz w:val="20"/>
                <w:szCs w:val="20"/>
              </w:rPr>
              <w:t>19,9668</w:t>
            </w:r>
          </w:p>
        </w:tc>
        <w:tc>
          <w:tcPr>
            <w:tcW w:w="1893" w:type="dxa"/>
            <w:vAlign w:val="center"/>
          </w:tcPr>
          <w:p w:rsidR="00E20331" w:rsidRPr="00BE3BC3" w:rsidRDefault="00BE3BC3" w:rsidP="00E20331">
            <w:pPr>
              <w:spacing w:before="120"/>
              <w:jc w:val="both"/>
              <w:rPr>
                <w:rFonts w:ascii="Arial" w:hAnsi="Arial" w:cs="Arial"/>
                <w:b/>
                <w:bCs/>
                <w:color w:val="000000"/>
                <w:sz w:val="20"/>
                <w:szCs w:val="20"/>
              </w:rPr>
            </w:pPr>
            <w:r w:rsidRPr="00BE3BC3">
              <w:rPr>
                <w:rFonts w:ascii="Arial" w:hAnsi="Arial" w:cs="Arial"/>
                <w:b/>
                <w:bCs/>
                <w:color w:val="000000"/>
                <w:sz w:val="20"/>
                <w:szCs w:val="20"/>
              </w:rPr>
              <w:t>23,34365</w:t>
            </w:r>
          </w:p>
        </w:tc>
        <w:tc>
          <w:tcPr>
            <w:tcW w:w="1772" w:type="dxa"/>
            <w:vAlign w:val="center"/>
          </w:tcPr>
          <w:p w:rsidR="00E20331" w:rsidRPr="00BE3BC3" w:rsidRDefault="00BE3BC3" w:rsidP="00E20331">
            <w:pPr>
              <w:spacing w:before="120"/>
              <w:jc w:val="both"/>
              <w:rPr>
                <w:rFonts w:ascii="Arial" w:hAnsi="Arial" w:cs="Arial"/>
                <w:b/>
                <w:bCs/>
                <w:sz w:val="20"/>
                <w:szCs w:val="20"/>
              </w:rPr>
            </w:pPr>
            <w:r w:rsidRPr="00BE3BC3">
              <w:rPr>
                <w:rFonts w:ascii="Arial" w:hAnsi="Arial" w:cs="Arial"/>
                <w:b/>
                <w:bCs/>
                <w:sz w:val="20"/>
                <w:szCs w:val="20"/>
              </w:rPr>
              <w:t>22,6921</w:t>
            </w:r>
          </w:p>
        </w:tc>
      </w:tr>
    </w:tbl>
    <w:p w:rsidR="00040692" w:rsidRDefault="004A2CA1" w:rsidP="00EB7952">
      <w:pPr>
        <w:spacing w:before="120" w:after="120" w:line="240" w:lineRule="auto"/>
        <w:jc w:val="both"/>
        <w:rPr>
          <w:rFonts w:ascii="Arial" w:hAnsi="Arial" w:cs="Arial"/>
          <w:sz w:val="23"/>
          <w:szCs w:val="23"/>
        </w:rPr>
      </w:pPr>
      <w:r>
        <w:rPr>
          <w:rFonts w:ascii="Arial" w:hAnsi="Arial" w:cs="Arial"/>
          <w:sz w:val="23"/>
          <w:szCs w:val="23"/>
        </w:rPr>
        <w:t xml:space="preserve">Taigi UAB Plungės bioenergijai nustojus gaminti šilumą ir Bendrovei nuo 2020 m. birželio perėmus gamybą, elektros energijos sąnaudos ženkliai sumažėjo, </w:t>
      </w:r>
      <w:r w:rsidR="006704CF">
        <w:rPr>
          <w:rFonts w:ascii="Arial" w:hAnsi="Arial" w:cs="Arial"/>
          <w:sz w:val="23"/>
          <w:szCs w:val="23"/>
        </w:rPr>
        <w:t xml:space="preserve">o </w:t>
      </w:r>
      <w:r w:rsidR="00684B64">
        <w:rPr>
          <w:rFonts w:ascii="Arial" w:hAnsi="Arial" w:cs="Arial"/>
          <w:sz w:val="23"/>
          <w:szCs w:val="23"/>
        </w:rPr>
        <w:t>jungiamosios trasos veikimas iš esmės neturėjo įtakos elektros sąnaudų pasikeitimui.</w:t>
      </w:r>
      <w:r w:rsidR="00E67228">
        <w:rPr>
          <w:rFonts w:ascii="Arial" w:hAnsi="Arial" w:cs="Arial"/>
          <w:sz w:val="23"/>
          <w:szCs w:val="23"/>
        </w:rPr>
        <w:t xml:space="preserve"> Pažymėtina, kad šiuo metu Lentpjūvės g. katilinėje nėra atskiros elektros apskaitos tinklo siurbliams ir todėl neįmanoma atskirti elektros sąnaudų </w:t>
      </w:r>
      <w:r w:rsidR="00B16ABA">
        <w:rPr>
          <w:rFonts w:ascii="Arial" w:hAnsi="Arial" w:cs="Arial"/>
          <w:sz w:val="23"/>
          <w:szCs w:val="23"/>
        </w:rPr>
        <w:t>gamyboje ir tiekime. Bendrovė š.</w:t>
      </w:r>
      <w:r w:rsidR="0059210F">
        <w:rPr>
          <w:rFonts w:ascii="Arial" w:hAnsi="Arial" w:cs="Arial"/>
          <w:sz w:val="23"/>
          <w:szCs w:val="23"/>
        </w:rPr>
        <w:t xml:space="preserve"> </w:t>
      </w:r>
      <w:r w:rsidR="00B16ABA">
        <w:rPr>
          <w:rFonts w:ascii="Arial" w:hAnsi="Arial" w:cs="Arial"/>
          <w:sz w:val="23"/>
          <w:szCs w:val="23"/>
        </w:rPr>
        <w:t>m. spalio mėnesį</w:t>
      </w:r>
      <w:r w:rsidR="0059210F">
        <w:rPr>
          <w:rFonts w:ascii="Arial" w:hAnsi="Arial" w:cs="Arial"/>
          <w:sz w:val="23"/>
          <w:szCs w:val="23"/>
        </w:rPr>
        <w:t xml:space="preserve"> Lentpjūvės g. katilinėje</w:t>
      </w:r>
      <w:r w:rsidR="00B16ABA">
        <w:rPr>
          <w:rFonts w:ascii="Arial" w:hAnsi="Arial" w:cs="Arial"/>
          <w:sz w:val="23"/>
          <w:szCs w:val="23"/>
        </w:rPr>
        <w:t xml:space="preserve"> ketina pastatyti atskirą elektros apskaitą tinklo siurbliams tam, kad būtų galima atlikti išsamesnę elektros energijos suvartojimo analizę ir priimti atitinkamus, elektros energijos sąnaudas dar labiau mažinančius, sprendimus.</w:t>
      </w:r>
    </w:p>
    <w:p w:rsidR="00EB6B15" w:rsidRPr="00BE46D8" w:rsidRDefault="00684B64" w:rsidP="00EB7952">
      <w:pPr>
        <w:spacing w:before="120" w:after="120" w:line="240" w:lineRule="auto"/>
        <w:jc w:val="both"/>
        <w:rPr>
          <w:rFonts w:ascii="Arial" w:hAnsi="Arial" w:cs="Arial"/>
          <w:sz w:val="23"/>
          <w:szCs w:val="23"/>
        </w:rPr>
      </w:pPr>
      <w:r>
        <w:rPr>
          <w:rFonts w:ascii="Arial" w:hAnsi="Arial" w:cs="Arial"/>
          <w:sz w:val="23"/>
          <w:szCs w:val="23"/>
        </w:rPr>
        <w:t>Analizuojant pastarųjų trijų metų</w:t>
      </w:r>
      <w:r w:rsidR="00C467A3">
        <w:rPr>
          <w:rFonts w:ascii="Arial" w:hAnsi="Arial" w:cs="Arial"/>
          <w:sz w:val="23"/>
          <w:szCs w:val="23"/>
        </w:rPr>
        <w:t xml:space="preserve"> (2020, 2021, 2022)</w:t>
      </w:r>
      <w:r>
        <w:rPr>
          <w:rFonts w:ascii="Arial" w:hAnsi="Arial" w:cs="Arial"/>
          <w:sz w:val="23"/>
          <w:szCs w:val="23"/>
        </w:rPr>
        <w:t xml:space="preserve"> </w:t>
      </w:r>
      <w:r w:rsidRPr="00684B64">
        <w:rPr>
          <w:rFonts w:ascii="Arial" w:hAnsi="Arial" w:cs="Arial"/>
          <w:b/>
          <w:bCs/>
          <w:sz w:val="23"/>
          <w:szCs w:val="23"/>
        </w:rPr>
        <w:t>technologinius nuostolius</w:t>
      </w:r>
      <w:r>
        <w:rPr>
          <w:rFonts w:ascii="Arial" w:hAnsi="Arial" w:cs="Arial"/>
          <w:sz w:val="23"/>
          <w:szCs w:val="23"/>
        </w:rPr>
        <w:t xml:space="preserve"> trasose</w:t>
      </w:r>
      <w:r w:rsidR="00C467A3">
        <w:rPr>
          <w:rFonts w:ascii="Arial" w:hAnsi="Arial" w:cs="Arial"/>
          <w:sz w:val="23"/>
          <w:szCs w:val="23"/>
        </w:rPr>
        <w:t xml:space="preserve"> birželio, liepos ir rugpjūčio mėnesiais</w:t>
      </w:r>
      <w:r>
        <w:rPr>
          <w:rFonts w:ascii="Arial" w:hAnsi="Arial" w:cs="Arial"/>
          <w:sz w:val="23"/>
          <w:szCs w:val="23"/>
        </w:rPr>
        <w:t>, gautas sekantis rezultatas:</w:t>
      </w:r>
    </w:p>
    <w:tbl>
      <w:tblPr>
        <w:tblStyle w:val="Lentelstinklelis"/>
        <w:tblW w:w="0" w:type="auto"/>
        <w:tblLook w:val="04A0" w:firstRow="1" w:lastRow="0" w:firstColumn="1" w:lastColumn="0" w:noHBand="0" w:noVBand="1"/>
      </w:tblPr>
      <w:tblGrid>
        <w:gridCol w:w="2407"/>
        <w:gridCol w:w="2407"/>
        <w:gridCol w:w="2407"/>
        <w:gridCol w:w="2407"/>
      </w:tblGrid>
      <w:tr w:rsidR="00C467A3" w:rsidTr="00C467A3">
        <w:tc>
          <w:tcPr>
            <w:tcW w:w="2407" w:type="dxa"/>
          </w:tcPr>
          <w:p w:rsidR="00C467A3" w:rsidRPr="0059210F" w:rsidRDefault="00C467A3" w:rsidP="00A43453">
            <w:pPr>
              <w:tabs>
                <w:tab w:val="left" w:pos="426"/>
              </w:tabs>
              <w:spacing w:after="120"/>
              <w:jc w:val="both"/>
              <w:rPr>
                <w:rFonts w:ascii="Arial" w:hAnsi="Arial" w:cs="Arial"/>
                <w:sz w:val="20"/>
                <w:szCs w:val="20"/>
              </w:rPr>
            </w:pPr>
          </w:p>
        </w:tc>
        <w:tc>
          <w:tcPr>
            <w:tcW w:w="2407" w:type="dxa"/>
          </w:tcPr>
          <w:p w:rsidR="00C467A3" w:rsidRPr="0059210F" w:rsidRDefault="00C467A3" w:rsidP="00A43453">
            <w:pPr>
              <w:tabs>
                <w:tab w:val="left" w:pos="426"/>
              </w:tabs>
              <w:spacing w:after="120"/>
              <w:jc w:val="both"/>
              <w:rPr>
                <w:rFonts w:ascii="Arial" w:hAnsi="Arial" w:cs="Arial"/>
                <w:b/>
                <w:bCs/>
                <w:sz w:val="20"/>
                <w:szCs w:val="20"/>
              </w:rPr>
            </w:pPr>
            <w:r w:rsidRPr="0059210F">
              <w:rPr>
                <w:rFonts w:ascii="Arial" w:hAnsi="Arial" w:cs="Arial"/>
                <w:b/>
                <w:bCs/>
                <w:sz w:val="20"/>
                <w:szCs w:val="20"/>
              </w:rPr>
              <w:t>2020 / MWh</w:t>
            </w:r>
          </w:p>
        </w:tc>
        <w:tc>
          <w:tcPr>
            <w:tcW w:w="2407" w:type="dxa"/>
          </w:tcPr>
          <w:p w:rsidR="00C467A3" w:rsidRPr="0059210F" w:rsidRDefault="00C467A3" w:rsidP="00A43453">
            <w:pPr>
              <w:tabs>
                <w:tab w:val="left" w:pos="426"/>
              </w:tabs>
              <w:spacing w:after="120"/>
              <w:jc w:val="both"/>
              <w:rPr>
                <w:rFonts w:ascii="Arial" w:hAnsi="Arial" w:cs="Arial"/>
                <w:b/>
                <w:bCs/>
                <w:sz w:val="20"/>
                <w:szCs w:val="20"/>
              </w:rPr>
            </w:pPr>
            <w:r w:rsidRPr="0059210F">
              <w:rPr>
                <w:rFonts w:ascii="Arial" w:hAnsi="Arial" w:cs="Arial"/>
                <w:b/>
                <w:bCs/>
                <w:sz w:val="20"/>
                <w:szCs w:val="20"/>
              </w:rPr>
              <w:t>2021 / MWh</w:t>
            </w:r>
          </w:p>
        </w:tc>
        <w:tc>
          <w:tcPr>
            <w:tcW w:w="2407" w:type="dxa"/>
          </w:tcPr>
          <w:p w:rsidR="00C467A3" w:rsidRPr="0059210F" w:rsidRDefault="00C467A3" w:rsidP="00A43453">
            <w:pPr>
              <w:tabs>
                <w:tab w:val="left" w:pos="426"/>
              </w:tabs>
              <w:spacing w:after="120"/>
              <w:jc w:val="both"/>
              <w:rPr>
                <w:rFonts w:ascii="Arial" w:hAnsi="Arial" w:cs="Arial"/>
                <w:b/>
                <w:bCs/>
                <w:sz w:val="20"/>
                <w:szCs w:val="20"/>
              </w:rPr>
            </w:pPr>
            <w:r w:rsidRPr="0059210F">
              <w:rPr>
                <w:rFonts w:ascii="Arial" w:hAnsi="Arial" w:cs="Arial"/>
                <w:b/>
                <w:bCs/>
                <w:sz w:val="20"/>
                <w:szCs w:val="20"/>
              </w:rPr>
              <w:t>2022 / MWh</w:t>
            </w:r>
          </w:p>
        </w:tc>
      </w:tr>
      <w:tr w:rsidR="002B6E50" w:rsidTr="00C467A3">
        <w:tc>
          <w:tcPr>
            <w:tcW w:w="2407" w:type="dxa"/>
          </w:tcPr>
          <w:p w:rsidR="002B6E50" w:rsidRPr="0059210F" w:rsidRDefault="002B6E50" w:rsidP="002B6E50">
            <w:pPr>
              <w:tabs>
                <w:tab w:val="left" w:pos="426"/>
              </w:tabs>
              <w:spacing w:after="120"/>
              <w:jc w:val="both"/>
              <w:rPr>
                <w:rFonts w:ascii="Arial" w:hAnsi="Arial" w:cs="Arial"/>
                <w:sz w:val="20"/>
                <w:szCs w:val="20"/>
              </w:rPr>
            </w:pPr>
            <w:r w:rsidRPr="0059210F">
              <w:rPr>
                <w:rFonts w:ascii="Arial" w:hAnsi="Arial" w:cs="Arial"/>
                <w:sz w:val="20"/>
                <w:szCs w:val="20"/>
              </w:rPr>
              <w:t>Birželis</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538,6</w:t>
            </w:r>
          </w:p>
        </w:tc>
        <w:tc>
          <w:tcPr>
            <w:tcW w:w="2407" w:type="dxa"/>
          </w:tcPr>
          <w:p w:rsidR="002B6E50" w:rsidRPr="0059210F" w:rsidRDefault="002B6E50" w:rsidP="002B6E50">
            <w:pPr>
              <w:tabs>
                <w:tab w:val="left" w:pos="426"/>
              </w:tabs>
              <w:spacing w:after="120"/>
              <w:jc w:val="both"/>
              <w:rPr>
                <w:rFonts w:ascii="Arial" w:hAnsi="Arial" w:cs="Arial"/>
                <w:sz w:val="20"/>
                <w:szCs w:val="20"/>
              </w:rPr>
            </w:pPr>
            <w:r>
              <w:rPr>
                <w:rFonts w:ascii="Arial" w:hAnsi="Arial" w:cs="Arial"/>
              </w:rPr>
              <w:t>722,5</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174925">
              <w:rPr>
                <w:rFonts w:ascii="Arial" w:hAnsi="Arial" w:cs="Arial"/>
              </w:rPr>
              <w:t>688,4</w:t>
            </w:r>
          </w:p>
        </w:tc>
      </w:tr>
      <w:tr w:rsidR="002B6E50" w:rsidTr="00C467A3">
        <w:tc>
          <w:tcPr>
            <w:tcW w:w="2407" w:type="dxa"/>
          </w:tcPr>
          <w:p w:rsidR="002B6E50" w:rsidRPr="0059210F" w:rsidRDefault="002B6E50" w:rsidP="002B6E50">
            <w:pPr>
              <w:tabs>
                <w:tab w:val="left" w:pos="426"/>
              </w:tabs>
              <w:spacing w:after="120"/>
              <w:jc w:val="both"/>
              <w:rPr>
                <w:rFonts w:ascii="Arial" w:hAnsi="Arial" w:cs="Arial"/>
                <w:sz w:val="20"/>
                <w:szCs w:val="20"/>
              </w:rPr>
            </w:pPr>
            <w:r w:rsidRPr="0059210F">
              <w:rPr>
                <w:rFonts w:ascii="Arial" w:hAnsi="Arial" w:cs="Arial"/>
                <w:sz w:val="20"/>
                <w:szCs w:val="20"/>
              </w:rPr>
              <w:t>Liepa</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666,3</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598,8</w:t>
            </w:r>
          </w:p>
        </w:tc>
        <w:tc>
          <w:tcPr>
            <w:tcW w:w="2407" w:type="dxa"/>
          </w:tcPr>
          <w:p w:rsidR="002B6E50" w:rsidRPr="0059210F" w:rsidRDefault="002B6E50" w:rsidP="002B6E50">
            <w:pPr>
              <w:jc w:val="both"/>
              <w:rPr>
                <w:rFonts w:ascii="Arial" w:hAnsi="Arial" w:cs="Arial"/>
                <w:sz w:val="20"/>
                <w:szCs w:val="20"/>
              </w:rPr>
            </w:pPr>
            <w:r>
              <w:rPr>
                <w:rFonts w:ascii="Arial" w:hAnsi="Arial" w:cs="Arial"/>
              </w:rPr>
              <w:t>673,3</w:t>
            </w:r>
          </w:p>
        </w:tc>
      </w:tr>
      <w:tr w:rsidR="002B6E50" w:rsidTr="00C467A3">
        <w:tc>
          <w:tcPr>
            <w:tcW w:w="2407" w:type="dxa"/>
          </w:tcPr>
          <w:p w:rsidR="002B6E50" w:rsidRPr="0059210F" w:rsidRDefault="002B6E50" w:rsidP="002B6E50">
            <w:pPr>
              <w:tabs>
                <w:tab w:val="left" w:pos="426"/>
              </w:tabs>
              <w:spacing w:after="120"/>
              <w:jc w:val="both"/>
              <w:rPr>
                <w:rFonts w:ascii="Arial" w:hAnsi="Arial" w:cs="Arial"/>
                <w:sz w:val="20"/>
                <w:szCs w:val="20"/>
              </w:rPr>
            </w:pPr>
            <w:r w:rsidRPr="0059210F">
              <w:rPr>
                <w:rFonts w:ascii="Arial" w:hAnsi="Arial" w:cs="Arial"/>
                <w:sz w:val="20"/>
                <w:szCs w:val="20"/>
              </w:rPr>
              <w:t>Rugpjūtis</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680,6</w:t>
            </w:r>
          </w:p>
        </w:tc>
        <w:tc>
          <w:tcPr>
            <w:tcW w:w="2407" w:type="dxa"/>
          </w:tcPr>
          <w:p w:rsidR="002B6E50" w:rsidRPr="0059210F" w:rsidRDefault="002B6E50" w:rsidP="002B6E50">
            <w:pPr>
              <w:tabs>
                <w:tab w:val="left" w:pos="426"/>
              </w:tabs>
              <w:spacing w:after="120"/>
              <w:jc w:val="both"/>
              <w:rPr>
                <w:rFonts w:ascii="Arial" w:hAnsi="Arial" w:cs="Arial"/>
                <w:sz w:val="20"/>
                <w:szCs w:val="20"/>
              </w:rPr>
            </w:pPr>
            <w:r w:rsidRPr="00EB04B5">
              <w:rPr>
                <w:rFonts w:ascii="Arial" w:hAnsi="Arial" w:cs="Arial"/>
              </w:rPr>
              <w:t>719,5</w:t>
            </w:r>
          </w:p>
        </w:tc>
        <w:tc>
          <w:tcPr>
            <w:tcW w:w="2407" w:type="dxa"/>
          </w:tcPr>
          <w:p w:rsidR="002B6E50" w:rsidRPr="0059210F" w:rsidRDefault="002B6E50" w:rsidP="002B6E50">
            <w:pPr>
              <w:tabs>
                <w:tab w:val="left" w:pos="426"/>
              </w:tabs>
              <w:spacing w:after="120"/>
              <w:jc w:val="both"/>
              <w:rPr>
                <w:rFonts w:ascii="Arial" w:hAnsi="Arial" w:cs="Arial"/>
                <w:sz w:val="20"/>
                <w:szCs w:val="20"/>
              </w:rPr>
            </w:pPr>
            <w:r>
              <w:rPr>
                <w:rFonts w:ascii="Arial" w:hAnsi="Arial" w:cs="Arial"/>
              </w:rPr>
              <w:t>603,4</w:t>
            </w:r>
          </w:p>
        </w:tc>
      </w:tr>
      <w:tr w:rsidR="00C467A3" w:rsidTr="00C467A3">
        <w:tc>
          <w:tcPr>
            <w:tcW w:w="2407" w:type="dxa"/>
          </w:tcPr>
          <w:p w:rsidR="00C467A3" w:rsidRPr="0059210F" w:rsidRDefault="00EB04B5" w:rsidP="00172CCE">
            <w:pPr>
              <w:tabs>
                <w:tab w:val="left" w:pos="426"/>
              </w:tabs>
              <w:spacing w:before="120" w:after="120"/>
              <w:jc w:val="right"/>
              <w:rPr>
                <w:rFonts w:ascii="Arial" w:hAnsi="Arial" w:cs="Arial"/>
                <w:b/>
                <w:bCs/>
                <w:sz w:val="20"/>
                <w:szCs w:val="20"/>
              </w:rPr>
            </w:pPr>
            <w:r w:rsidRPr="0059210F">
              <w:rPr>
                <w:rFonts w:ascii="Arial" w:hAnsi="Arial" w:cs="Arial"/>
                <w:b/>
                <w:bCs/>
                <w:sz w:val="20"/>
                <w:szCs w:val="20"/>
              </w:rPr>
              <w:t>Viso:</w:t>
            </w:r>
          </w:p>
        </w:tc>
        <w:tc>
          <w:tcPr>
            <w:tcW w:w="2407" w:type="dxa"/>
          </w:tcPr>
          <w:p w:rsidR="00C467A3" w:rsidRPr="0059210F" w:rsidRDefault="002B6E50" w:rsidP="00172CCE">
            <w:pPr>
              <w:tabs>
                <w:tab w:val="left" w:pos="426"/>
              </w:tabs>
              <w:spacing w:before="120" w:after="120"/>
              <w:jc w:val="both"/>
              <w:rPr>
                <w:rFonts w:ascii="Arial" w:hAnsi="Arial" w:cs="Arial"/>
                <w:b/>
                <w:bCs/>
                <w:sz w:val="20"/>
                <w:szCs w:val="20"/>
              </w:rPr>
            </w:pPr>
            <w:r w:rsidRPr="002B6E50">
              <w:rPr>
                <w:rFonts w:ascii="Arial" w:hAnsi="Arial" w:cs="Arial"/>
                <w:b/>
                <w:bCs/>
                <w:sz w:val="20"/>
                <w:szCs w:val="20"/>
              </w:rPr>
              <w:t>1885,5</w:t>
            </w:r>
          </w:p>
        </w:tc>
        <w:tc>
          <w:tcPr>
            <w:tcW w:w="2407" w:type="dxa"/>
          </w:tcPr>
          <w:p w:rsidR="00C467A3" w:rsidRPr="0059210F" w:rsidRDefault="002B6E50" w:rsidP="00172CCE">
            <w:pPr>
              <w:tabs>
                <w:tab w:val="left" w:pos="426"/>
              </w:tabs>
              <w:spacing w:before="120" w:after="120"/>
              <w:jc w:val="both"/>
              <w:rPr>
                <w:rFonts w:ascii="Arial" w:hAnsi="Arial" w:cs="Arial"/>
                <w:b/>
                <w:bCs/>
                <w:sz w:val="20"/>
                <w:szCs w:val="20"/>
              </w:rPr>
            </w:pPr>
            <w:r w:rsidRPr="002B6E50">
              <w:rPr>
                <w:rFonts w:ascii="Arial" w:hAnsi="Arial" w:cs="Arial"/>
                <w:b/>
                <w:bCs/>
                <w:sz w:val="20"/>
                <w:szCs w:val="20"/>
              </w:rPr>
              <w:t>2040,8</w:t>
            </w:r>
          </w:p>
        </w:tc>
        <w:tc>
          <w:tcPr>
            <w:tcW w:w="2407" w:type="dxa"/>
          </w:tcPr>
          <w:p w:rsidR="00C467A3" w:rsidRPr="0059210F" w:rsidRDefault="002B6E50" w:rsidP="00172CCE">
            <w:pPr>
              <w:tabs>
                <w:tab w:val="left" w:pos="426"/>
              </w:tabs>
              <w:spacing w:before="120" w:after="120"/>
              <w:jc w:val="both"/>
              <w:rPr>
                <w:rFonts w:ascii="Arial" w:hAnsi="Arial" w:cs="Arial"/>
                <w:b/>
                <w:bCs/>
                <w:sz w:val="20"/>
                <w:szCs w:val="20"/>
              </w:rPr>
            </w:pPr>
            <w:r w:rsidRPr="002B6E50">
              <w:rPr>
                <w:rFonts w:ascii="Arial" w:hAnsi="Arial" w:cs="Arial"/>
                <w:b/>
                <w:bCs/>
                <w:sz w:val="20"/>
                <w:szCs w:val="20"/>
              </w:rPr>
              <w:t>1965,1</w:t>
            </w:r>
          </w:p>
        </w:tc>
      </w:tr>
    </w:tbl>
    <w:p w:rsidR="00E67228" w:rsidRDefault="002B6E50" w:rsidP="00B16ABA">
      <w:pPr>
        <w:tabs>
          <w:tab w:val="left" w:pos="426"/>
        </w:tabs>
        <w:spacing w:before="120" w:after="120" w:line="240" w:lineRule="auto"/>
        <w:jc w:val="both"/>
        <w:rPr>
          <w:rFonts w:ascii="Arial" w:hAnsi="Arial" w:cs="Arial"/>
        </w:rPr>
      </w:pPr>
      <w:r>
        <w:rPr>
          <w:rFonts w:ascii="Arial" w:hAnsi="Arial" w:cs="Arial"/>
        </w:rPr>
        <w:t>Trijų mėnesių technologinių nuostolių analizė leidžia daryti išvadą, kad j</w:t>
      </w:r>
      <w:r w:rsidR="00E67228">
        <w:rPr>
          <w:rFonts w:ascii="Arial" w:hAnsi="Arial" w:cs="Arial"/>
        </w:rPr>
        <w:t xml:space="preserve">ungiamoji trasa, nors ir prailgino Plungės m. CŠT vamzdyną beveik 1,5 km, nešildymo sezono metu </w:t>
      </w:r>
      <w:r w:rsidR="00DB05D7">
        <w:rPr>
          <w:rFonts w:ascii="Arial" w:hAnsi="Arial" w:cs="Arial"/>
        </w:rPr>
        <w:t>negeneruoja daugiau nei įprasta technologinių nuostolių trasose. Tokį rezultatą lemia tai, kad po jungiamosios trasos projekto įgyvendinimo efektyviau išnaudojami Lentpjūvės g. katilinėje esantys įrenginiai.</w:t>
      </w:r>
    </w:p>
    <w:p w:rsidR="00172CCE" w:rsidRDefault="00172CCE" w:rsidP="00B16ABA">
      <w:pPr>
        <w:tabs>
          <w:tab w:val="left" w:pos="426"/>
        </w:tabs>
        <w:spacing w:before="120" w:after="120" w:line="240" w:lineRule="auto"/>
        <w:jc w:val="both"/>
        <w:rPr>
          <w:rFonts w:ascii="Arial" w:hAnsi="Arial" w:cs="Arial"/>
        </w:rPr>
      </w:pPr>
      <w:r>
        <w:rPr>
          <w:rFonts w:ascii="Arial" w:hAnsi="Arial" w:cs="Arial"/>
        </w:rPr>
        <w:t xml:space="preserve">Kalbant apie pasiruošimą 2022/2023 metų šildymo sezonui labai svarbu paminėti ir tai, kad nuo 2022 m. gegužės mėnesio, kuomet Bendrovė jungiamosios trasos dėka pradėjo konkuruoti su nepriklausomu šilumos gamintoju, </w:t>
      </w:r>
      <w:r w:rsidR="0059210F">
        <w:rPr>
          <w:rFonts w:ascii="Arial" w:hAnsi="Arial" w:cs="Arial"/>
        </w:rPr>
        <w:t xml:space="preserve">šilumos supirkimo aukcionuose </w:t>
      </w:r>
      <w:r>
        <w:rPr>
          <w:rFonts w:ascii="Arial" w:hAnsi="Arial" w:cs="Arial"/>
        </w:rPr>
        <w:t xml:space="preserve">buvo sutaupyta </w:t>
      </w:r>
      <w:r w:rsidRPr="0059210F">
        <w:rPr>
          <w:rFonts w:ascii="Arial" w:hAnsi="Arial" w:cs="Arial"/>
          <w:b/>
          <w:bCs/>
        </w:rPr>
        <w:t xml:space="preserve">85 425 Eur </w:t>
      </w:r>
      <w:r w:rsidR="0059210F" w:rsidRPr="0059210F">
        <w:rPr>
          <w:rFonts w:ascii="Arial" w:hAnsi="Arial" w:cs="Arial"/>
          <w:b/>
          <w:bCs/>
        </w:rPr>
        <w:t xml:space="preserve">apyvartinių </w:t>
      </w:r>
      <w:r w:rsidRPr="0059210F">
        <w:rPr>
          <w:rFonts w:ascii="Arial" w:hAnsi="Arial" w:cs="Arial"/>
          <w:b/>
          <w:bCs/>
        </w:rPr>
        <w:t>lėšų</w:t>
      </w:r>
      <w:r>
        <w:rPr>
          <w:rFonts w:ascii="Arial" w:hAnsi="Arial" w:cs="Arial"/>
        </w:rPr>
        <w:t xml:space="preserve"> (Bendrovės šilumos gamybos sąnaudų ir UAB </w:t>
      </w:r>
      <w:r w:rsidR="00AF4E48">
        <w:rPr>
          <w:rFonts w:ascii="Arial" w:hAnsi="Arial" w:cs="Arial"/>
        </w:rPr>
        <w:t>„</w:t>
      </w:r>
      <w:r>
        <w:rPr>
          <w:rFonts w:ascii="Arial" w:hAnsi="Arial" w:cs="Arial"/>
        </w:rPr>
        <w:t>Plungės bioenergijos</w:t>
      </w:r>
      <w:r w:rsidR="00AF4E48">
        <w:rPr>
          <w:rFonts w:ascii="Arial" w:hAnsi="Arial" w:cs="Arial"/>
        </w:rPr>
        <w:t>“</w:t>
      </w:r>
      <w:r>
        <w:rPr>
          <w:rFonts w:ascii="Arial" w:hAnsi="Arial" w:cs="Arial"/>
        </w:rPr>
        <w:t xml:space="preserve"> siūlomos šilumos kainos skirtumas)</w:t>
      </w:r>
      <w:r w:rsidR="0059210F">
        <w:rPr>
          <w:rFonts w:ascii="Arial" w:hAnsi="Arial" w:cs="Arial"/>
        </w:rPr>
        <w:t xml:space="preserve">. </w:t>
      </w:r>
    </w:p>
    <w:p w:rsidR="00E67228" w:rsidRDefault="00E67228" w:rsidP="00A43453">
      <w:pPr>
        <w:tabs>
          <w:tab w:val="left" w:pos="426"/>
        </w:tabs>
        <w:spacing w:after="120" w:line="240" w:lineRule="auto"/>
        <w:jc w:val="both"/>
        <w:rPr>
          <w:rFonts w:ascii="Arial" w:hAnsi="Arial" w:cs="Arial"/>
        </w:rPr>
      </w:pPr>
    </w:p>
    <w:p w:rsidR="00BE0BEB" w:rsidRPr="007B50AA" w:rsidRDefault="001B7B01" w:rsidP="001B7B01">
      <w:pPr>
        <w:spacing w:after="120" w:line="240" w:lineRule="auto"/>
        <w:jc w:val="both"/>
        <w:rPr>
          <w:rFonts w:ascii="Arial" w:hAnsi="Arial" w:cs="Arial"/>
        </w:rPr>
      </w:pPr>
      <w:r w:rsidRPr="007B50AA">
        <w:rPr>
          <w:rFonts w:ascii="Arial" w:hAnsi="Arial" w:cs="Arial"/>
        </w:rPr>
        <w:t>Taigi Bendrovė yra iš esmės įsivertinusi visus 202</w:t>
      </w:r>
      <w:r w:rsidR="00B16ABA">
        <w:rPr>
          <w:rFonts w:ascii="Arial" w:hAnsi="Arial" w:cs="Arial"/>
        </w:rPr>
        <w:t>2</w:t>
      </w:r>
      <w:r w:rsidRPr="007B50AA">
        <w:rPr>
          <w:rFonts w:ascii="Arial" w:hAnsi="Arial" w:cs="Arial"/>
        </w:rPr>
        <w:t>/202</w:t>
      </w:r>
      <w:r w:rsidR="00B16ABA">
        <w:rPr>
          <w:rFonts w:ascii="Arial" w:hAnsi="Arial" w:cs="Arial"/>
        </w:rPr>
        <w:t>3</w:t>
      </w:r>
      <w:r w:rsidRPr="007B50AA">
        <w:rPr>
          <w:rFonts w:ascii="Arial" w:hAnsi="Arial" w:cs="Arial"/>
        </w:rPr>
        <w:t xml:space="preserve"> galimus šildymo sezono iššūkius ir deda visas pastangas tam, kad būtų užtikrintas patikimas, saugus ir ekonomiškas šilumos tiekimas Plungės rajono gyventojams. </w:t>
      </w:r>
      <w:r w:rsidR="00B16ABA">
        <w:rPr>
          <w:rFonts w:ascii="Arial" w:hAnsi="Arial" w:cs="Arial"/>
        </w:rPr>
        <w:t>Pažymėtina ir tai, kad šiuo metu Bendrovė laukia Valstybinės energetikos reguliavimo tarybos (VERT) naujos šilumos kainos apskaičiavimo metodikos, kuri turi pasirodyti rugsėjo 15 dieną. VERT įpareigota iki 2022 m. rugsėjo 22 d. pateikti visiems šilumos tiekėjams naujas šilumos kainos nustatymo sąlygas. Atitinkamai Bendrovė, gavusi iš VERT naują kainos apskaičiavimo tvarką, kreipsis dėl naujos kainos patvirtinimo. Patvirtinus naują kainą, galutinėje šilumos kainoje bus skaičiuojama nebe 32,8 proc. gamtinių dujų, o tik 8 proc., kad leis daugiau nei 20 proc. sumažinti galutinę kainą vartotojams dar iki šio šildymo sezono pradžios.</w:t>
      </w:r>
    </w:p>
    <w:p w:rsidR="00C14E2C" w:rsidRPr="007B50AA" w:rsidRDefault="00293A82" w:rsidP="001B7B01">
      <w:pPr>
        <w:spacing w:after="120" w:line="240" w:lineRule="auto"/>
        <w:jc w:val="both"/>
        <w:rPr>
          <w:rFonts w:ascii="Arial" w:hAnsi="Arial" w:cs="Arial"/>
        </w:rPr>
      </w:pPr>
      <w:r w:rsidRPr="007B50AA">
        <w:rPr>
          <w:rFonts w:ascii="Arial" w:hAnsi="Arial" w:cs="Arial"/>
        </w:rPr>
        <w:t xml:space="preserve"> </w:t>
      </w:r>
    </w:p>
    <w:p w:rsidR="000E463D" w:rsidRPr="007B50AA" w:rsidRDefault="000E463D" w:rsidP="001B7B01">
      <w:pPr>
        <w:spacing w:after="120" w:line="240" w:lineRule="auto"/>
        <w:jc w:val="both"/>
        <w:rPr>
          <w:rFonts w:ascii="Arial" w:hAnsi="Arial" w:cs="Arial"/>
          <w:color w:val="000000"/>
        </w:rPr>
      </w:pPr>
    </w:p>
    <w:p w:rsidR="000607D8" w:rsidRPr="007B50AA" w:rsidRDefault="000607D8" w:rsidP="00283566">
      <w:pPr>
        <w:spacing w:after="120" w:line="240" w:lineRule="auto"/>
        <w:jc w:val="both"/>
        <w:rPr>
          <w:rFonts w:ascii="Arial" w:hAnsi="Arial" w:cs="Arial"/>
          <w:color w:val="000000"/>
        </w:rPr>
      </w:pPr>
      <w:r w:rsidRPr="007B50AA">
        <w:rPr>
          <w:rFonts w:ascii="Arial" w:hAnsi="Arial" w:cs="Arial"/>
          <w:color w:val="000000"/>
        </w:rPr>
        <w:t xml:space="preserve">Pagarbiai, </w:t>
      </w:r>
    </w:p>
    <w:p w:rsidR="000607D8" w:rsidRPr="007B50AA" w:rsidRDefault="00B16ABA" w:rsidP="00283566">
      <w:pPr>
        <w:spacing w:after="120" w:line="240" w:lineRule="auto"/>
        <w:jc w:val="both"/>
        <w:rPr>
          <w:rFonts w:ascii="Arial" w:hAnsi="Arial" w:cs="Arial"/>
          <w:color w:val="000000"/>
        </w:rPr>
      </w:pPr>
      <w:r>
        <w:rPr>
          <w:rFonts w:ascii="Arial" w:hAnsi="Arial" w:cs="Arial"/>
          <w:color w:val="000000"/>
        </w:rPr>
        <w:t>G</w:t>
      </w:r>
      <w:r w:rsidR="000607D8" w:rsidRPr="007B50AA">
        <w:rPr>
          <w:rFonts w:ascii="Arial" w:hAnsi="Arial" w:cs="Arial"/>
          <w:color w:val="000000"/>
        </w:rPr>
        <w:t>eneralinė direktorė Margarita Charitonova</w:t>
      </w:r>
    </w:p>
    <w:p w:rsidR="0042435F" w:rsidRPr="007B50AA" w:rsidRDefault="0042435F" w:rsidP="000607D8">
      <w:pPr>
        <w:spacing w:after="120" w:line="240" w:lineRule="auto"/>
        <w:jc w:val="both"/>
        <w:rPr>
          <w:rFonts w:ascii="Arial" w:hAnsi="Arial" w:cs="Arial"/>
          <w:color w:val="000000"/>
        </w:rPr>
      </w:pPr>
    </w:p>
    <w:sectPr w:rsidR="0042435F" w:rsidRPr="007B50AA" w:rsidSect="00AB0B7E">
      <w:footerReference w:type="default" r:id="rId12"/>
      <w:pgSz w:w="11906" w:h="16838"/>
      <w:pgMar w:top="1134" w:right="567" w:bottom="1418"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875" w:rsidRDefault="00F76875" w:rsidP="007F6B95">
      <w:pPr>
        <w:spacing w:after="0" w:line="240" w:lineRule="auto"/>
      </w:pPr>
      <w:r>
        <w:separator/>
      </w:r>
    </w:p>
  </w:endnote>
  <w:endnote w:type="continuationSeparator" w:id="0">
    <w:p w:rsidR="00F76875" w:rsidRDefault="00F76875" w:rsidP="007F6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070450"/>
      <w:docPartObj>
        <w:docPartGallery w:val="Page Numbers (Bottom of Page)"/>
        <w:docPartUnique/>
      </w:docPartObj>
    </w:sdtPr>
    <w:sdtEndPr>
      <w:rPr>
        <w:rFonts w:ascii="Arial" w:hAnsi="Arial" w:cs="Arial"/>
      </w:rPr>
    </w:sdtEndPr>
    <w:sdtContent>
      <w:p w:rsidR="00B848C7" w:rsidRPr="00AB0B7E" w:rsidRDefault="00B848C7">
        <w:pPr>
          <w:pStyle w:val="Porat"/>
          <w:jc w:val="right"/>
          <w:rPr>
            <w:rFonts w:ascii="Arial" w:hAnsi="Arial" w:cs="Arial"/>
          </w:rPr>
        </w:pPr>
        <w:r w:rsidRPr="00AB0B7E">
          <w:rPr>
            <w:rFonts w:ascii="Arial" w:hAnsi="Arial" w:cs="Arial"/>
          </w:rPr>
          <w:fldChar w:fldCharType="begin"/>
        </w:r>
        <w:r w:rsidRPr="00AB0B7E">
          <w:rPr>
            <w:rFonts w:ascii="Arial" w:hAnsi="Arial" w:cs="Arial"/>
          </w:rPr>
          <w:instrText>PAGE   \* MERGEFORMAT</w:instrText>
        </w:r>
        <w:r w:rsidRPr="00AB0B7E">
          <w:rPr>
            <w:rFonts w:ascii="Arial" w:hAnsi="Arial" w:cs="Arial"/>
          </w:rPr>
          <w:fldChar w:fldCharType="separate"/>
        </w:r>
        <w:r w:rsidR="003A7654">
          <w:rPr>
            <w:rFonts w:ascii="Arial" w:hAnsi="Arial" w:cs="Arial"/>
            <w:noProof/>
          </w:rPr>
          <w:t>2</w:t>
        </w:r>
        <w:r w:rsidRPr="00AB0B7E">
          <w:rPr>
            <w:rFonts w:ascii="Arial" w:hAnsi="Arial" w:cs="Arial"/>
          </w:rPr>
          <w:fldChar w:fldCharType="end"/>
        </w:r>
      </w:p>
    </w:sdtContent>
  </w:sdt>
  <w:p w:rsidR="007F6B95" w:rsidRPr="00AB0B7E" w:rsidRDefault="007F6B95" w:rsidP="00721007">
    <w:pPr>
      <w:pStyle w:val="Porat"/>
      <w:tabs>
        <w:tab w:val="clear" w:pos="4819"/>
        <w:tab w:val="clear" w:pos="9638"/>
        <w:tab w:val="left" w:pos="316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875" w:rsidRDefault="00F76875" w:rsidP="007F6B95">
      <w:pPr>
        <w:spacing w:after="0" w:line="240" w:lineRule="auto"/>
      </w:pPr>
      <w:r>
        <w:separator/>
      </w:r>
    </w:p>
  </w:footnote>
  <w:footnote w:type="continuationSeparator" w:id="0">
    <w:p w:rsidR="00F76875" w:rsidRDefault="00F76875" w:rsidP="007F6B95">
      <w:pPr>
        <w:spacing w:after="0" w:line="240" w:lineRule="auto"/>
      </w:pPr>
      <w:r>
        <w:continuationSeparator/>
      </w:r>
    </w:p>
  </w:footnote>
  <w:footnote w:id="1">
    <w:p w:rsidR="001E5396" w:rsidRDefault="001E5396">
      <w:pPr>
        <w:pStyle w:val="Puslapioinaostekstas"/>
      </w:pPr>
      <w:r>
        <w:rPr>
          <w:rStyle w:val="Puslapioinaosnuoroda"/>
        </w:rPr>
        <w:footnoteRef/>
      </w:r>
      <w:r>
        <w:t xml:space="preserve"> Valstybinė energetikos reguliavimo taryba prognozuojamą </w:t>
      </w:r>
      <w:r w:rsidR="006E267E">
        <w:t>biokuro kainą Plungės CŠT sistemai nustato pagal Klaipėdos apskrities sandorius, kadangi Klaipėdos apskrities kaina labiausiai atitinka Telšių ir Plungės rajonuose siūlomo įsigyti biokuro kainą.</w:t>
      </w:r>
    </w:p>
  </w:footnote>
  <w:footnote w:id="2">
    <w:p w:rsidR="00C438AA" w:rsidRDefault="00C438AA">
      <w:pPr>
        <w:pStyle w:val="Puslapioinaostekstas"/>
      </w:pPr>
      <w:r>
        <w:rPr>
          <w:rStyle w:val="Puslapioinaosnuoroda"/>
        </w:rPr>
        <w:footnoteRef/>
      </w:r>
      <w:r>
        <w:t xml:space="preserve"> 4 metų laikotarpis buvo imamas siekiant palyginti elektros gamybos sąnaudas dirbant UAB Plungės bioenergijai ir jai nedirbant.</w:t>
      </w:r>
    </w:p>
  </w:footnote>
  <w:footnote w:id="3">
    <w:p w:rsidR="003D1275" w:rsidRDefault="003D1275">
      <w:pPr>
        <w:pStyle w:val="Puslapioinaostekstas"/>
      </w:pPr>
      <w:r>
        <w:rPr>
          <w:rStyle w:val="Puslapioinaosnuoroda"/>
        </w:rPr>
        <w:footnoteRef/>
      </w:r>
      <w:r>
        <w:t xml:space="preserve"> Kadangi </w:t>
      </w:r>
      <w:r w:rsidR="00BE65EC">
        <w:t>UAB Plungės bioenergija nebegamino šilumos nuo 2022 m. gegužės 16 d., tikslumo dėlei atskaitos tašku pasirinktas birželio mėnuo, kuomet visas karštas vanduo buvo gaminamas vienoje, Lentpjūvės g. katilinėje.</w:t>
      </w:r>
    </w:p>
  </w:footnote>
  <w:footnote w:id="4">
    <w:p w:rsidR="00956C6D" w:rsidRDefault="00956C6D">
      <w:pPr>
        <w:pStyle w:val="Puslapioinaostekstas"/>
      </w:pPr>
      <w:r>
        <w:rPr>
          <w:rStyle w:val="Puslapioinaosnuoroda"/>
        </w:rPr>
        <w:footnoteRef/>
      </w:r>
      <w:r>
        <w:t xml:space="preserve"> Plungės bioenergija nustojo gaminti šilumą 2020 m. birželio 1 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2B1"/>
    <w:multiLevelType w:val="hybridMultilevel"/>
    <w:tmpl w:val="F4F645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E7A15B4"/>
    <w:multiLevelType w:val="hybridMultilevel"/>
    <w:tmpl w:val="06EAB5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ECE2B7A"/>
    <w:multiLevelType w:val="hybridMultilevel"/>
    <w:tmpl w:val="55421A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EF624C7"/>
    <w:multiLevelType w:val="hybridMultilevel"/>
    <w:tmpl w:val="C5CA7BBE"/>
    <w:lvl w:ilvl="0" w:tplc="3BFA3F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A904A08"/>
    <w:multiLevelType w:val="hybridMultilevel"/>
    <w:tmpl w:val="C2F2632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C43CD2"/>
    <w:multiLevelType w:val="hybridMultilevel"/>
    <w:tmpl w:val="9094E5A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2902825"/>
    <w:multiLevelType w:val="hybridMultilevel"/>
    <w:tmpl w:val="CDA016B4"/>
    <w:lvl w:ilvl="0" w:tplc="73A616B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AA830DB"/>
    <w:multiLevelType w:val="hybridMultilevel"/>
    <w:tmpl w:val="43FA2952"/>
    <w:lvl w:ilvl="0" w:tplc="D3EEDB6C">
      <w:start w:val="201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00E5413"/>
    <w:multiLevelType w:val="hybridMultilevel"/>
    <w:tmpl w:val="DAE04E70"/>
    <w:lvl w:ilvl="0" w:tplc="903E26C0">
      <w:start w:val="1"/>
      <w:numFmt w:val="low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2ED5A40"/>
    <w:multiLevelType w:val="hybridMultilevel"/>
    <w:tmpl w:val="F2F2B4A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E5174FE"/>
    <w:multiLevelType w:val="hybridMultilevel"/>
    <w:tmpl w:val="3A1EE48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nsid w:val="3FEE3E5C"/>
    <w:multiLevelType w:val="hybridMultilevel"/>
    <w:tmpl w:val="B32662C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25130E3"/>
    <w:multiLevelType w:val="hybridMultilevel"/>
    <w:tmpl w:val="FFCE3A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45B5D73"/>
    <w:multiLevelType w:val="hybridMultilevel"/>
    <w:tmpl w:val="12523482"/>
    <w:lvl w:ilvl="0" w:tplc="C77EB166">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4">
    <w:nsid w:val="5E5E008D"/>
    <w:multiLevelType w:val="hybridMultilevel"/>
    <w:tmpl w:val="32CE660C"/>
    <w:lvl w:ilvl="0" w:tplc="7BF87BA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1803CB5"/>
    <w:multiLevelType w:val="hybridMultilevel"/>
    <w:tmpl w:val="99D4D2E8"/>
    <w:lvl w:ilvl="0" w:tplc="D438F3CC">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nsid w:val="6A0B785A"/>
    <w:multiLevelType w:val="hybridMultilevel"/>
    <w:tmpl w:val="A46AFFFC"/>
    <w:lvl w:ilvl="0" w:tplc="3B988B7C">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728B104B"/>
    <w:multiLevelType w:val="hybridMultilevel"/>
    <w:tmpl w:val="E35C026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7ADD3843"/>
    <w:multiLevelType w:val="hybridMultilevel"/>
    <w:tmpl w:val="7EF4E094"/>
    <w:lvl w:ilvl="0" w:tplc="628605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7B5370CA"/>
    <w:multiLevelType w:val="hybridMultilevel"/>
    <w:tmpl w:val="D01439E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8"/>
  </w:num>
  <w:num w:numId="2">
    <w:abstractNumId w:val="2"/>
  </w:num>
  <w:num w:numId="3">
    <w:abstractNumId w:val="13"/>
  </w:num>
  <w:num w:numId="4">
    <w:abstractNumId w:val="3"/>
  </w:num>
  <w:num w:numId="5">
    <w:abstractNumId w:val="1"/>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2"/>
  </w:num>
  <w:num w:numId="10">
    <w:abstractNumId w:val="16"/>
  </w:num>
  <w:num w:numId="11">
    <w:abstractNumId w:val="0"/>
  </w:num>
  <w:num w:numId="12">
    <w:abstractNumId w:val="19"/>
  </w:num>
  <w:num w:numId="13">
    <w:abstractNumId w:val="5"/>
  </w:num>
  <w:num w:numId="14">
    <w:abstractNumId w:val="4"/>
  </w:num>
  <w:num w:numId="15">
    <w:abstractNumId w:val="11"/>
  </w:num>
  <w:num w:numId="16">
    <w:abstractNumId w:val="8"/>
  </w:num>
  <w:num w:numId="17">
    <w:abstractNumId w:val="9"/>
  </w:num>
  <w:num w:numId="18">
    <w:abstractNumId w:val="6"/>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B95"/>
    <w:rsid w:val="00007FF8"/>
    <w:rsid w:val="00015B34"/>
    <w:rsid w:val="00022916"/>
    <w:rsid w:val="00024DC7"/>
    <w:rsid w:val="0002628A"/>
    <w:rsid w:val="00031032"/>
    <w:rsid w:val="000323FF"/>
    <w:rsid w:val="00033F68"/>
    <w:rsid w:val="00040692"/>
    <w:rsid w:val="000607D8"/>
    <w:rsid w:val="00061FFE"/>
    <w:rsid w:val="00062397"/>
    <w:rsid w:val="00062EF7"/>
    <w:rsid w:val="00063700"/>
    <w:rsid w:val="00063DB4"/>
    <w:rsid w:val="00073462"/>
    <w:rsid w:val="00077A55"/>
    <w:rsid w:val="000805D8"/>
    <w:rsid w:val="0008295D"/>
    <w:rsid w:val="00083F92"/>
    <w:rsid w:val="00087ACC"/>
    <w:rsid w:val="00090793"/>
    <w:rsid w:val="000923BB"/>
    <w:rsid w:val="00093A31"/>
    <w:rsid w:val="000956FB"/>
    <w:rsid w:val="00096F55"/>
    <w:rsid w:val="000A059E"/>
    <w:rsid w:val="000A0EB6"/>
    <w:rsid w:val="000A4D22"/>
    <w:rsid w:val="000B4849"/>
    <w:rsid w:val="000B775D"/>
    <w:rsid w:val="000C32D2"/>
    <w:rsid w:val="000C5A2F"/>
    <w:rsid w:val="000C5C70"/>
    <w:rsid w:val="000C7021"/>
    <w:rsid w:val="000D1497"/>
    <w:rsid w:val="000D1F0E"/>
    <w:rsid w:val="000D696B"/>
    <w:rsid w:val="000D6DE0"/>
    <w:rsid w:val="000D7BEA"/>
    <w:rsid w:val="000D7F25"/>
    <w:rsid w:val="000E08D3"/>
    <w:rsid w:val="000E2D79"/>
    <w:rsid w:val="000E4099"/>
    <w:rsid w:val="000E43CC"/>
    <w:rsid w:val="000E463D"/>
    <w:rsid w:val="000E465C"/>
    <w:rsid w:val="000E4CC5"/>
    <w:rsid w:val="000E7FBC"/>
    <w:rsid w:val="000F5D80"/>
    <w:rsid w:val="0011053B"/>
    <w:rsid w:val="001224A7"/>
    <w:rsid w:val="00123A7C"/>
    <w:rsid w:val="00125C63"/>
    <w:rsid w:val="00131BBD"/>
    <w:rsid w:val="00134DFF"/>
    <w:rsid w:val="001376AC"/>
    <w:rsid w:val="00137995"/>
    <w:rsid w:val="00145453"/>
    <w:rsid w:val="00151558"/>
    <w:rsid w:val="00154B19"/>
    <w:rsid w:val="0015555E"/>
    <w:rsid w:val="00160133"/>
    <w:rsid w:val="001642DE"/>
    <w:rsid w:val="00165650"/>
    <w:rsid w:val="00172CCE"/>
    <w:rsid w:val="00174925"/>
    <w:rsid w:val="00180FF3"/>
    <w:rsid w:val="001839CC"/>
    <w:rsid w:val="00186ECE"/>
    <w:rsid w:val="00187346"/>
    <w:rsid w:val="00190B57"/>
    <w:rsid w:val="001936B6"/>
    <w:rsid w:val="00193E94"/>
    <w:rsid w:val="00196D65"/>
    <w:rsid w:val="001A520B"/>
    <w:rsid w:val="001B12B1"/>
    <w:rsid w:val="001B1698"/>
    <w:rsid w:val="001B7B01"/>
    <w:rsid w:val="001C02B4"/>
    <w:rsid w:val="001E1C2E"/>
    <w:rsid w:val="001E3315"/>
    <w:rsid w:val="001E5396"/>
    <w:rsid w:val="001F125E"/>
    <w:rsid w:val="001F2FD9"/>
    <w:rsid w:val="001F5FF5"/>
    <w:rsid w:val="00207050"/>
    <w:rsid w:val="00207C6A"/>
    <w:rsid w:val="002109D7"/>
    <w:rsid w:val="00212EFD"/>
    <w:rsid w:val="00215DB1"/>
    <w:rsid w:val="002173CE"/>
    <w:rsid w:val="00220805"/>
    <w:rsid w:val="002254A7"/>
    <w:rsid w:val="00234D18"/>
    <w:rsid w:val="00235009"/>
    <w:rsid w:val="00241E8A"/>
    <w:rsid w:val="002425FD"/>
    <w:rsid w:val="0024271C"/>
    <w:rsid w:val="00250485"/>
    <w:rsid w:val="00251B2F"/>
    <w:rsid w:val="00256053"/>
    <w:rsid w:val="002610F5"/>
    <w:rsid w:val="0026169F"/>
    <w:rsid w:val="00261BB7"/>
    <w:rsid w:val="00261FF1"/>
    <w:rsid w:val="002640A7"/>
    <w:rsid w:val="002643FA"/>
    <w:rsid w:val="0026497F"/>
    <w:rsid w:val="00275752"/>
    <w:rsid w:val="00280246"/>
    <w:rsid w:val="00280BC5"/>
    <w:rsid w:val="00283566"/>
    <w:rsid w:val="00293970"/>
    <w:rsid w:val="00293A82"/>
    <w:rsid w:val="002A18DF"/>
    <w:rsid w:val="002A68A6"/>
    <w:rsid w:val="002B35AF"/>
    <w:rsid w:val="002B6E50"/>
    <w:rsid w:val="002B6F6B"/>
    <w:rsid w:val="002B7540"/>
    <w:rsid w:val="002C0380"/>
    <w:rsid w:val="002C1831"/>
    <w:rsid w:val="002C224B"/>
    <w:rsid w:val="002C2BF0"/>
    <w:rsid w:val="002D4AD7"/>
    <w:rsid w:val="002E152F"/>
    <w:rsid w:val="002E1A84"/>
    <w:rsid w:val="002E554A"/>
    <w:rsid w:val="002E70D6"/>
    <w:rsid w:val="002F0CCA"/>
    <w:rsid w:val="002F3F2D"/>
    <w:rsid w:val="002F4C02"/>
    <w:rsid w:val="002F6BF1"/>
    <w:rsid w:val="002F7D24"/>
    <w:rsid w:val="0030084B"/>
    <w:rsid w:val="00304F34"/>
    <w:rsid w:val="003065B1"/>
    <w:rsid w:val="00310C4E"/>
    <w:rsid w:val="00320011"/>
    <w:rsid w:val="0032487B"/>
    <w:rsid w:val="003255A0"/>
    <w:rsid w:val="003276C5"/>
    <w:rsid w:val="00331780"/>
    <w:rsid w:val="0033276B"/>
    <w:rsid w:val="0033344D"/>
    <w:rsid w:val="00336338"/>
    <w:rsid w:val="00337709"/>
    <w:rsid w:val="00342809"/>
    <w:rsid w:val="0034779B"/>
    <w:rsid w:val="00352749"/>
    <w:rsid w:val="00354B88"/>
    <w:rsid w:val="00354E69"/>
    <w:rsid w:val="003578B8"/>
    <w:rsid w:val="00363F0D"/>
    <w:rsid w:val="00365D4B"/>
    <w:rsid w:val="0037025A"/>
    <w:rsid w:val="00370989"/>
    <w:rsid w:val="003745E6"/>
    <w:rsid w:val="003846E2"/>
    <w:rsid w:val="00386EF5"/>
    <w:rsid w:val="0039363C"/>
    <w:rsid w:val="003A03BD"/>
    <w:rsid w:val="003A7654"/>
    <w:rsid w:val="003B2626"/>
    <w:rsid w:val="003B3C7A"/>
    <w:rsid w:val="003B44D0"/>
    <w:rsid w:val="003B57D2"/>
    <w:rsid w:val="003B7A99"/>
    <w:rsid w:val="003C3E1C"/>
    <w:rsid w:val="003C6709"/>
    <w:rsid w:val="003D1275"/>
    <w:rsid w:val="003D2B91"/>
    <w:rsid w:val="003E0CF3"/>
    <w:rsid w:val="003E6E51"/>
    <w:rsid w:val="003E7AC8"/>
    <w:rsid w:val="003F331A"/>
    <w:rsid w:val="003F3862"/>
    <w:rsid w:val="00400C8E"/>
    <w:rsid w:val="004059AE"/>
    <w:rsid w:val="0041199E"/>
    <w:rsid w:val="00422C5B"/>
    <w:rsid w:val="004232EC"/>
    <w:rsid w:val="0042435F"/>
    <w:rsid w:val="004245F2"/>
    <w:rsid w:val="00425BB1"/>
    <w:rsid w:val="004262D7"/>
    <w:rsid w:val="004357EB"/>
    <w:rsid w:val="004361E8"/>
    <w:rsid w:val="00436820"/>
    <w:rsid w:val="004378EC"/>
    <w:rsid w:val="00442119"/>
    <w:rsid w:val="00442FC4"/>
    <w:rsid w:val="004469F3"/>
    <w:rsid w:val="0045036A"/>
    <w:rsid w:val="004511B0"/>
    <w:rsid w:val="004552C1"/>
    <w:rsid w:val="004555A2"/>
    <w:rsid w:val="004560EA"/>
    <w:rsid w:val="004672E4"/>
    <w:rsid w:val="004775E3"/>
    <w:rsid w:val="004778E5"/>
    <w:rsid w:val="0048787D"/>
    <w:rsid w:val="0049090D"/>
    <w:rsid w:val="00496A5F"/>
    <w:rsid w:val="004A1A5B"/>
    <w:rsid w:val="004A2CA1"/>
    <w:rsid w:val="004A40CF"/>
    <w:rsid w:val="004A4A38"/>
    <w:rsid w:val="004A74F7"/>
    <w:rsid w:val="004B14FE"/>
    <w:rsid w:val="004C311A"/>
    <w:rsid w:val="004C536F"/>
    <w:rsid w:val="004C5892"/>
    <w:rsid w:val="004C5BB6"/>
    <w:rsid w:val="004D36E6"/>
    <w:rsid w:val="004D4FE0"/>
    <w:rsid w:val="004D64B0"/>
    <w:rsid w:val="004E178B"/>
    <w:rsid w:val="004E3CA9"/>
    <w:rsid w:val="004E468D"/>
    <w:rsid w:val="004E68B0"/>
    <w:rsid w:val="004E7BAC"/>
    <w:rsid w:val="0050022A"/>
    <w:rsid w:val="0050039D"/>
    <w:rsid w:val="00500971"/>
    <w:rsid w:val="00501B23"/>
    <w:rsid w:val="005063F4"/>
    <w:rsid w:val="0050751E"/>
    <w:rsid w:val="00510697"/>
    <w:rsid w:val="0051267A"/>
    <w:rsid w:val="005170B4"/>
    <w:rsid w:val="00526FC9"/>
    <w:rsid w:val="0053021E"/>
    <w:rsid w:val="0053188A"/>
    <w:rsid w:val="00532284"/>
    <w:rsid w:val="00540ED3"/>
    <w:rsid w:val="00551EE9"/>
    <w:rsid w:val="0055351D"/>
    <w:rsid w:val="00553D89"/>
    <w:rsid w:val="0056236F"/>
    <w:rsid w:val="00563379"/>
    <w:rsid w:val="005634D3"/>
    <w:rsid w:val="00563E9A"/>
    <w:rsid w:val="00573DB9"/>
    <w:rsid w:val="00574E6F"/>
    <w:rsid w:val="00577A9C"/>
    <w:rsid w:val="005805B2"/>
    <w:rsid w:val="00580969"/>
    <w:rsid w:val="0058100F"/>
    <w:rsid w:val="00582009"/>
    <w:rsid w:val="0059210F"/>
    <w:rsid w:val="00596B62"/>
    <w:rsid w:val="00597D78"/>
    <w:rsid w:val="005A068D"/>
    <w:rsid w:val="005A11CF"/>
    <w:rsid w:val="005A4465"/>
    <w:rsid w:val="005A5B2B"/>
    <w:rsid w:val="005C5FC1"/>
    <w:rsid w:val="005D1B14"/>
    <w:rsid w:val="005D79D8"/>
    <w:rsid w:val="005E0328"/>
    <w:rsid w:val="005E14D0"/>
    <w:rsid w:val="005E7271"/>
    <w:rsid w:val="005F2148"/>
    <w:rsid w:val="005F2CC5"/>
    <w:rsid w:val="005F3E88"/>
    <w:rsid w:val="005F3F98"/>
    <w:rsid w:val="005F4BC4"/>
    <w:rsid w:val="00605C51"/>
    <w:rsid w:val="00612F24"/>
    <w:rsid w:val="0061477B"/>
    <w:rsid w:val="00614839"/>
    <w:rsid w:val="006157CB"/>
    <w:rsid w:val="00615FEA"/>
    <w:rsid w:val="00630521"/>
    <w:rsid w:val="00646FDE"/>
    <w:rsid w:val="00653A1B"/>
    <w:rsid w:val="00663950"/>
    <w:rsid w:val="006661A8"/>
    <w:rsid w:val="00670433"/>
    <w:rsid w:val="006704CF"/>
    <w:rsid w:val="006740B8"/>
    <w:rsid w:val="00676D7E"/>
    <w:rsid w:val="00680B86"/>
    <w:rsid w:val="00684B64"/>
    <w:rsid w:val="00687FF8"/>
    <w:rsid w:val="006929B8"/>
    <w:rsid w:val="0069515E"/>
    <w:rsid w:val="006A148F"/>
    <w:rsid w:val="006B36EF"/>
    <w:rsid w:val="006B5A47"/>
    <w:rsid w:val="006B782F"/>
    <w:rsid w:val="006B7F3C"/>
    <w:rsid w:val="006C46B7"/>
    <w:rsid w:val="006C4BCC"/>
    <w:rsid w:val="006C6026"/>
    <w:rsid w:val="006D1894"/>
    <w:rsid w:val="006D192B"/>
    <w:rsid w:val="006D3194"/>
    <w:rsid w:val="006D6559"/>
    <w:rsid w:val="006E1954"/>
    <w:rsid w:val="006E267E"/>
    <w:rsid w:val="006E49DA"/>
    <w:rsid w:val="006E52C1"/>
    <w:rsid w:val="006E6817"/>
    <w:rsid w:val="006F39A4"/>
    <w:rsid w:val="0070404F"/>
    <w:rsid w:val="00706040"/>
    <w:rsid w:val="00707CC9"/>
    <w:rsid w:val="00707D6E"/>
    <w:rsid w:val="0071673B"/>
    <w:rsid w:val="00721007"/>
    <w:rsid w:val="007231BF"/>
    <w:rsid w:val="00725422"/>
    <w:rsid w:val="0072661F"/>
    <w:rsid w:val="00735C5C"/>
    <w:rsid w:val="00736524"/>
    <w:rsid w:val="007370DD"/>
    <w:rsid w:val="0074528D"/>
    <w:rsid w:val="00747C70"/>
    <w:rsid w:val="007524E0"/>
    <w:rsid w:val="00753E46"/>
    <w:rsid w:val="00755418"/>
    <w:rsid w:val="007558B9"/>
    <w:rsid w:val="0077091F"/>
    <w:rsid w:val="00771BDE"/>
    <w:rsid w:val="007760A0"/>
    <w:rsid w:val="0077756E"/>
    <w:rsid w:val="00790581"/>
    <w:rsid w:val="00793207"/>
    <w:rsid w:val="007937CD"/>
    <w:rsid w:val="00796D46"/>
    <w:rsid w:val="007A376C"/>
    <w:rsid w:val="007A43F5"/>
    <w:rsid w:val="007A53DD"/>
    <w:rsid w:val="007B2507"/>
    <w:rsid w:val="007B4FB0"/>
    <w:rsid w:val="007B50AA"/>
    <w:rsid w:val="007B69DF"/>
    <w:rsid w:val="007C03F5"/>
    <w:rsid w:val="007C1BB8"/>
    <w:rsid w:val="007C4776"/>
    <w:rsid w:val="007C6EF2"/>
    <w:rsid w:val="007C7162"/>
    <w:rsid w:val="007D392D"/>
    <w:rsid w:val="007D69B5"/>
    <w:rsid w:val="007E362B"/>
    <w:rsid w:val="007E77D2"/>
    <w:rsid w:val="007F1D46"/>
    <w:rsid w:val="007F6B95"/>
    <w:rsid w:val="007F7F91"/>
    <w:rsid w:val="00800A38"/>
    <w:rsid w:val="0080344D"/>
    <w:rsid w:val="00811C50"/>
    <w:rsid w:val="008127F9"/>
    <w:rsid w:val="008158BB"/>
    <w:rsid w:val="0081611D"/>
    <w:rsid w:val="0081649B"/>
    <w:rsid w:val="00817787"/>
    <w:rsid w:val="00821E90"/>
    <w:rsid w:val="00832A0E"/>
    <w:rsid w:val="00833C88"/>
    <w:rsid w:val="00834DFF"/>
    <w:rsid w:val="00840C69"/>
    <w:rsid w:val="00840F95"/>
    <w:rsid w:val="008417C8"/>
    <w:rsid w:val="0084206D"/>
    <w:rsid w:val="00843CF1"/>
    <w:rsid w:val="008445A7"/>
    <w:rsid w:val="00844CDD"/>
    <w:rsid w:val="00844EBD"/>
    <w:rsid w:val="00846BDE"/>
    <w:rsid w:val="00850D73"/>
    <w:rsid w:val="00854795"/>
    <w:rsid w:val="00854821"/>
    <w:rsid w:val="00867D4D"/>
    <w:rsid w:val="00867FC7"/>
    <w:rsid w:val="0087133F"/>
    <w:rsid w:val="00873DDA"/>
    <w:rsid w:val="0088167E"/>
    <w:rsid w:val="00882566"/>
    <w:rsid w:val="008829AC"/>
    <w:rsid w:val="00882AED"/>
    <w:rsid w:val="00886DF1"/>
    <w:rsid w:val="008A44EA"/>
    <w:rsid w:val="008A79BF"/>
    <w:rsid w:val="008B2D03"/>
    <w:rsid w:val="008B61EB"/>
    <w:rsid w:val="008B6B8F"/>
    <w:rsid w:val="008B6D2A"/>
    <w:rsid w:val="008C77FB"/>
    <w:rsid w:val="008D0848"/>
    <w:rsid w:val="008D0B0B"/>
    <w:rsid w:val="008D1545"/>
    <w:rsid w:val="008D1561"/>
    <w:rsid w:val="008D2778"/>
    <w:rsid w:val="008D5EC0"/>
    <w:rsid w:val="008E0692"/>
    <w:rsid w:val="008F305C"/>
    <w:rsid w:val="009002B6"/>
    <w:rsid w:val="009161CD"/>
    <w:rsid w:val="00916DC3"/>
    <w:rsid w:val="0091799F"/>
    <w:rsid w:val="00921AA5"/>
    <w:rsid w:val="009235A5"/>
    <w:rsid w:val="00926CB4"/>
    <w:rsid w:val="00931C76"/>
    <w:rsid w:val="009325A5"/>
    <w:rsid w:val="00937975"/>
    <w:rsid w:val="0094112F"/>
    <w:rsid w:val="00941162"/>
    <w:rsid w:val="00942C4C"/>
    <w:rsid w:val="009438CD"/>
    <w:rsid w:val="00945F08"/>
    <w:rsid w:val="00946902"/>
    <w:rsid w:val="0095009E"/>
    <w:rsid w:val="00950C50"/>
    <w:rsid w:val="00950DFA"/>
    <w:rsid w:val="00952705"/>
    <w:rsid w:val="009536D1"/>
    <w:rsid w:val="00955008"/>
    <w:rsid w:val="00956C6D"/>
    <w:rsid w:val="00960C08"/>
    <w:rsid w:val="00970F6C"/>
    <w:rsid w:val="00975221"/>
    <w:rsid w:val="00976DBF"/>
    <w:rsid w:val="009777ED"/>
    <w:rsid w:val="009824B1"/>
    <w:rsid w:val="00983FC8"/>
    <w:rsid w:val="00985FF1"/>
    <w:rsid w:val="00990C1A"/>
    <w:rsid w:val="009930DD"/>
    <w:rsid w:val="00995152"/>
    <w:rsid w:val="009A35E5"/>
    <w:rsid w:val="009A38ED"/>
    <w:rsid w:val="009B103E"/>
    <w:rsid w:val="009B1311"/>
    <w:rsid w:val="009B2E86"/>
    <w:rsid w:val="009B44DF"/>
    <w:rsid w:val="009B4C18"/>
    <w:rsid w:val="009C3D96"/>
    <w:rsid w:val="009C41D5"/>
    <w:rsid w:val="009C4391"/>
    <w:rsid w:val="009C494A"/>
    <w:rsid w:val="009C59C5"/>
    <w:rsid w:val="009C5D21"/>
    <w:rsid w:val="009D3636"/>
    <w:rsid w:val="009D59D3"/>
    <w:rsid w:val="009D6AC3"/>
    <w:rsid w:val="009E0D25"/>
    <w:rsid w:val="009F2FA0"/>
    <w:rsid w:val="00A030CF"/>
    <w:rsid w:val="00A03CFD"/>
    <w:rsid w:val="00A040FB"/>
    <w:rsid w:val="00A05A49"/>
    <w:rsid w:val="00A11D2C"/>
    <w:rsid w:val="00A215AE"/>
    <w:rsid w:val="00A23CFB"/>
    <w:rsid w:val="00A23F00"/>
    <w:rsid w:val="00A23F71"/>
    <w:rsid w:val="00A241FA"/>
    <w:rsid w:val="00A252B3"/>
    <w:rsid w:val="00A308C3"/>
    <w:rsid w:val="00A30A27"/>
    <w:rsid w:val="00A30FA2"/>
    <w:rsid w:val="00A430C9"/>
    <w:rsid w:val="00A43453"/>
    <w:rsid w:val="00A45275"/>
    <w:rsid w:val="00A479AA"/>
    <w:rsid w:val="00A47F77"/>
    <w:rsid w:val="00A51654"/>
    <w:rsid w:val="00A53412"/>
    <w:rsid w:val="00A53779"/>
    <w:rsid w:val="00A56843"/>
    <w:rsid w:val="00A60403"/>
    <w:rsid w:val="00A63472"/>
    <w:rsid w:val="00A66E94"/>
    <w:rsid w:val="00A709F1"/>
    <w:rsid w:val="00A75529"/>
    <w:rsid w:val="00A764BA"/>
    <w:rsid w:val="00A80928"/>
    <w:rsid w:val="00A81530"/>
    <w:rsid w:val="00A81C6A"/>
    <w:rsid w:val="00A92CCE"/>
    <w:rsid w:val="00A97759"/>
    <w:rsid w:val="00AA2054"/>
    <w:rsid w:val="00AA3270"/>
    <w:rsid w:val="00AA4077"/>
    <w:rsid w:val="00AA5D12"/>
    <w:rsid w:val="00AB0B7E"/>
    <w:rsid w:val="00AB5380"/>
    <w:rsid w:val="00AB5A4D"/>
    <w:rsid w:val="00AC6984"/>
    <w:rsid w:val="00AC6B90"/>
    <w:rsid w:val="00AD065C"/>
    <w:rsid w:val="00AD18E1"/>
    <w:rsid w:val="00AD6B4B"/>
    <w:rsid w:val="00AD7544"/>
    <w:rsid w:val="00AD7FD7"/>
    <w:rsid w:val="00AE2B63"/>
    <w:rsid w:val="00AE624C"/>
    <w:rsid w:val="00AE6BD8"/>
    <w:rsid w:val="00AE7ED7"/>
    <w:rsid w:val="00AF0EF4"/>
    <w:rsid w:val="00AF0EFC"/>
    <w:rsid w:val="00AF2B9E"/>
    <w:rsid w:val="00AF4E48"/>
    <w:rsid w:val="00AF6CC1"/>
    <w:rsid w:val="00AF7750"/>
    <w:rsid w:val="00AF7BCA"/>
    <w:rsid w:val="00B01711"/>
    <w:rsid w:val="00B058EE"/>
    <w:rsid w:val="00B11238"/>
    <w:rsid w:val="00B121A7"/>
    <w:rsid w:val="00B12977"/>
    <w:rsid w:val="00B16ABA"/>
    <w:rsid w:val="00B21CD1"/>
    <w:rsid w:val="00B2541F"/>
    <w:rsid w:val="00B2760E"/>
    <w:rsid w:val="00B308C0"/>
    <w:rsid w:val="00B31435"/>
    <w:rsid w:val="00B3596B"/>
    <w:rsid w:val="00B37EED"/>
    <w:rsid w:val="00B4367E"/>
    <w:rsid w:val="00B5034F"/>
    <w:rsid w:val="00B513C2"/>
    <w:rsid w:val="00B52431"/>
    <w:rsid w:val="00B638A8"/>
    <w:rsid w:val="00B67CBD"/>
    <w:rsid w:val="00B70DD5"/>
    <w:rsid w:val="00B74CE5"/>
    <w:rsid w:val="00B833EA"/>
    <w:rsid w:val="00B848C7"/>
    <w:rsid w:val="00B84EDC"/>
    <w:rsid w:val="00B85CD8"/>
    <w:rsid w:val="00B87957"/>
    <w:rsid w:val="00B90BFB"/>
    <w:rsid w:val="00B94985"/>
    <w:rsid w:val="00B95EC5"/>
    <w:rsid w:val="00B973F3"/>
    <w:rsid w:val="00BA19C6"/>
    <w:rsid w:val="00BA6A59"/>
    <w:rsid w:val="00BB14B1"/>
    <w:rsid w:val="00BB2272"/>
    <w:rsid w:val="00BB2C80"/>
    <w:rsid w:val="00BB310D"/>
    <w:rsid w:val="00BB5B1C"/>
    <w:rsid w:val="00BC2C58"/>
    <w:rsid w:val="00BC3E6B"/>
    <w:rsid w:val="00BC600B"/>
    <w:rsid w:val="00BC7BB2"/>
    <w:rsid w:val="00BD22DB"/>
    <w:rsid w:val="00BE0BEB"/>
    <w:rsid w:val="00BE1D6B"/>
    <w:rsid w:val="00BE22AA"/>
    <w:rsid w:val="00BE3BC3"/>
    <w:rsid w:val="00BE3E9E"/>
    <w:rsid w:val="00BE65EC"/>
    <w:rsid w:val="00BE73B0"/>
    <w:rsid w:val="00C0287E"/>
    <w:rsid w:val="00C042A5"/>
    <w:rsid w:val="00C04DD7"/>
    <w:rsid w:val="00C0765D"/>
    <w:rsid w:val="00C10589"/>
    <w:rsid w:val="00C13953"/>
    <w:rsid w:val="00C14E2C"/>
    <w:rsid w:val="00C16314"/>
    <w:rsid w:val="00C16ADF"/>
    <w:rsid w:val="00C2064E"/>
    <w:rsid w:val="00C20EBE"/>
    <w:rsid w:val="00C22608"/>
    <w:rsid w:val="00C26C6D"/>
    <w:rsid w:val="00C26C7A"/>
    <w:rsid w:val="00C277AE"/>
    <w:rsid w:val="00C31F6A"/>
    <w:rsid w:val="00C42615"/>
    <w:rsid w:val="00C438AA"/>
    <w:rsid w:val="00C465D8"/>
    <w:rsid w:val="00C467A3"/>
    <w:rsid w:val="00C55963"/>
    <w:rsid w:val="00C55BBB"/>
    <w:rsid w:val="00C649FA"/>
    <w:rsid w:val="00C67E80"/>
    <w:rsid w:val="00C81745"/>
    <w:rsid w:val="00C81988"/>
    <w:rsid w:val="00C836EB"/>
    <w:rsid w:val="00C91345"/>
    <w:rsid w:val="00CA2567"/>
    <w:rsid w:val="00CA2B91"/>
    <w:rsid w:val="00CA3A9E"/>
    <w:rsid w:val="00CB0A62"/>
    <w:rsid w:val="00CB15A0"/>
    <w:rsid w:val="00CB2E94"/>
    <w:rsid w:val="00CB4615"/>
    <w:rsid w:val="00CB53CB"/>
    <w:rsid w:val="00CB77E7"/>
    <w:rsid w:val="00CC103E"/>
    <w:rsid w:val="00CC5364"/>
    <w:rsid w:val="00CD43D1"/>
    <w:rsid w:val="00CD4C42"/>
    <w:rsid w:val="00CF00BF"/>
    <w:rsid w:val="00D03496"/>
    <w:rsid w:val="00D044C2"/>
    <w:rsid w:val="00D04C0C"/>
    <w:rsid w:val="00D052A1"/>
    <w:rsid w:val="00D10F52"/>
    <w:rsid w:val="00D12D23"/>
    <w:rsid w:val="00D1322A"/>
    <w:rsid w:val="00D17561"/>
    <w:rsid w:val="00D22D03"/>
    <w:rsid w:val="00D23566"/>
    <w:rsid w:val="00D25A1C"/>
    <w:rsid w:val="00D25A29"/>
    <w:rsid w:val="00D270FC"/>
    <w:rsid w:val="00D30704"/>
    <w:rsid w:val="00D31521"/>
    <w:rsid w:val="00D32BD5"/>
    <w:rsid w:val="00D35415"/>
    <w:rsid w:val="00D369C9"/>
    <w:rsid w:val="00D411BB"/>
    <w:rsid w:val="00D531F0"/>
    <w:rsid w:val="00D5494C"/>
    <w:rsid w:val="00D61BED"/>
    <w:rsid w:val="00D730BC"/>
    <w:rsid w:val="00D7320A"/>
    <w:rsid w:val="00D7380A"/>
    <w:rsid w:val="00D77490"/>
    <w:rsid w:val="00D81C44"/>
    <w:rsid w:val="00D81FCE"/>
    <w:rsid w:val="00D82167"/>
    <w:rsid w:val="00D82FE3"/>
    <w:rsid w:val="00D85462"/>
    <w:rsid w:val="00D86630"/>
    <w:rsid w:val="00D86744"/>
    <w:rsid w:val="00D87366"/>
    <w:rsid w:val="00D9171E"/>
    <w:rsid w:val="00D919A8"/>
    <w:rsid w:val="00D91DB9"/>
    <w:rsid w:val="00D93F60"/>
    <w:rsid w:val="00DA125E"/>
    <w:rsid w:val="00DB04C0"/>
    <w:rsid w:val="00DB05D7"/>
    <w:rsid w:val="00DB1130"/>
    <w:rsid w:val="00DB2D99"/>
    <w:rsid w:val="00DB399D"/>
    <w:rsid w:val="00DB6631"/>
    <w:rsid w:val="00DB678C"/>
    <w:rsid w:val="00DB6913"/>
    <w:rsid w:val="00DC0643"/>
    <w:rsid w:val="00DC1B5B"/>
    <w:rsid w:val="00DC2C49"/>
    <w:rsid w:val="00DC5097"/>
    <w:rsid w:val="00DC6E7A"/>
    <w:rsid w:val="00DC7FF1"/>
    <w:rsid w:val="00DD1628"/>
    <w:rsid w:val="00DD1FED"/>
    <w:rsid w:val="00DD46AA"/>
    <w:rsid w:val="00DE0831"/>
    <w:rsid w:val="00DF2178"/>
    <w:rsid w:val="00DF3AFC"/>
    <w:rsid w:val="00DF5467"/>
    <w:rsid w:val="00DF6BC4"/>
    <w:rsid w:val="00E10E3D"/>
    <w:rsid w:val="00E20331"/>
    <w:rsid w:val="00E215C8"/>
    <w:rsid w:val="00E2460A"/>
    <w:rsid w:val="00E32E9E"/>
    <w:rsid w:val="00E4673F"/>
    <w:rsid w:val="00E51580"/>
    <w:rsid w:val="00E574F4"/>
    <w:rsid w:val="00E611C3"/>
    <w:rsid w:val="00E64D4D"/>
    <w:rsid w:val="00E65180"/>
    <w:rsid w:val="00E670C5"/>
    <w:rsid w:val="00E67228"/>
    <w:rsid w:val="00E80D26"/>
    <w:rsid w:val="00E83FA1"/>
    <w:rsid w:val="00E84A8D"/>
    <w:rsid w:val="00E8653B"/>
    <w:rsid w:val="00E871E1"/>
    <w:rsid w:val="00E876B0"/>
    <w:rsid w:val="00E93D3E"/>
    <w:rsid w:val="00E95F1B"/>
    <w:rsid w:val="00EA025D"/>
    <w:rsid w:val="00EA2FBD"/>
    <w:rsid w:val="00EA35D2"/>
    <w:rsid w:val="00EA6E30"/>
    <w:rsid w:val="00EA75C0"/>
    <w:rsid w:val="00EB04B5"/>
    <w:rsid w:val="00EB07DA"/>
    <w:rsid w:val="00EB1CE6"/>
    <w:rsid w:val="00EB4D79"/>
    <w:rsid w:val="00EB6B15"/>
    <w:rsid w:val="00EB7952"/>
    <w:rsid w:val="00ED01CA"/>
    <w:rsid w:val="00ED0E94"/>
    <w:rsid w:val="00ED115B"/>
    <w:rsid w:val="00ED3082"/>
    <w:rsid w:val="00ED6789"/>
    <w:rsid w:val="00ED78D7"/>
    <w:rsid w:val="00ED7EB5"/>
    <w:rsid w:val="00EE044D"/>
    <w:rsid w:val="00EE598A"/>
    <w:rsid w:val="00EF0063"/>
    <w:rsid w:val="00EF0DB9"/>
    <w:rsid w:val="00EF13DA"/>
    <w:rsid w:val="00EF2DAE"/>
    <w:rsid w:val="00F00976"/>
    <w:rsid w:val="00F021C1"/>
    <w:rsid w:val="00F20194"/>
    <w:rsid w:val="00F2373E"/>
    <w:rsid w:val="00F2480F"/>
    <w:rsid w:val="00F34AF5"/>
    <w:rsid w:val="00F422AA"/>
    <w:rsid w:val="00F45A9B"/>
    <w:rsid w:val="00F52B2C"/>
    <w:rsid w:val="00F5419B"/>
    <w:rsid w:val="00F54EB2"/>
    <w:rsid w:val="00F62D59"/>
    <w:rsid w:val="00F64502"/>
    <w:rsid w:val="00F64EA0"/>
    <w:rsid w:val="00F6798A"/>
    <w:rsid w:val="00F765A9"/>
    <w:rsid w:val="00F76875"/>
    <w:rsid w:val="00F77C46"/>
    <w:rsid w:val="00F80AA4"/>
    <w:rsid w:val="00F91AF0"/>
    <w:rsid w:val="00FA0286"/>
    <w:rsid w:val="00FB3622"/>
    <w:rsid w:val="00FC1799"/>
    <w:rsid w:val="00FC3134"/>
    <w:rsid w:val="00FC3F63"/>
    <w:rsid w:val="00FC458C"/>
    <w:rsid w:val="00FD32F3"/>
    <w:rsid w:val="00FD4268"/>
    <w:rsid w:val="00FD54A7"/>
    <w:rsid w:val="00FD6B35"/>
    <w:rsid w:val="00FD7969"/>
    <w:rsid w:val="00FE048E"/>
    <w:rsid w:val="00FE1380"/>
    <w:rsid w:val="00FE68D0"/>
    <w:rsid w:val="00FE73B0"/>
    <w:rsid w:val="00FF0549"/>
    <w:rsid w:val="00FF7B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8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052A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F6B9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F6B95"/>
  </w:style>
  <w:style w:type="paragraph" w:styleId="Porat">
    <w:name w:val="footer"/>
    <w:basedOn w:val="prastasis"/>
    <w:link w:val="PoratDiagrama"/>
    <w:uiPriority w:val="99"/>
    <w:unhideWhenUsed/>
    <w:rsid w:val="007F6B9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F6B95"/>
  </w:style>
  <w:style w:type="paragraph" w:styleId="Debesliotekstas">
    <w:name w:val="Balloon Text"/>
    <w:basedOn w:val="prastasis"/>
    <w:link w:val="DebesliotekstasDiagrama"/>
    <w:uiPriority w:val="99"/>
    <w:semiHidden/>
    <w:unhideWhenUsed/>
    <w:rsid w:val="007F6B9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6B95"/>
    <w:rPr>
      <w:rFonts w:ascii="Tahoma" w:hAnsi="Tahoma" w:cs="Tahoma"/>
      <w:sz w:val="16"/>
      <w:szCs w:val="16"/>
    </w:rPr>
  </w:style>
  <w:style w:type="character" w:styleId="Hipersaitas">
    <w:name w:val="Hyperlink"/>
    <w:basedOn w:val="Numatytasispastraiposriftas"/>
    <w:uiPriority w:val="99"/>
    <w:unhideWhenUsed/>
    <w:rsid w:val="00F2373E"/>
    <w:rPr>
      <w:color w:val="0000FF" w:themeColor="hyperlink"/>
      <w:u w:val="single"/>
    </w:rPr>
  </w:style>
  <w:style w:type="table" w:styleId="Lentelstinklelis">
    <w:name w:val="Table Grid"/>
    <w:basedOn w:val="prastojilentel"/>
    <w:uiPriority w:val="59"/>
    <w:rsid w:val="00752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8A79BF"/>
    <w:rPr>
      <w:i/>
      <w:iCs/>
    </w:rPr>
  </w:style>
  <w:style w:type="character" w:styleId="Grietas">
    <w:name w:val="Strong"/>
    <w:basedOn w:val="Numatytasispastraiposriftas"/>
    <w:uiPriority w:val="22"/>
    <w:qFormat/>
    <w:rsid w:val="008A79BF"/>
    <w:rPr>
      <w:b/>
      <w:bCs/>
    </w:rPr>
  </w:style>
  <w:style w:type="paragraph" w:styleId="Sraopastraipa">
    <w:name w:val="List Paragraph"/>
    <w:basedOn w:val="prastasis"/>
    <w:uiPriority w:val="34"/>
    <w:qFormat/>
    <w:rsid w:val="0042435F"/>
    <w:pPr>
      <w:ind w:left="720"/>
      <w:contextualSpacing/>
    </w:pPr>
  </w:style>
  <w:style w:type="paragraph" w:styleId="Pagrindinistekstas">
    <w:name w:val="Body Text"/>
    <w:basedOn w:val="prastasis"/>
    <w:link w:val="PagrindinistekstasDiagrama"/>
    <w:semiHidden/>
    <w:unhideWhenUsed/>
    <w:rsid w:val="00A215AE"/>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semiHidden/>
    <w:rsid w:val="00A215AE"/>
    <w:rPr>
      <w:rFonts w:ascii="Times New Roman" w:eastAsia="Times New Roman" w:hAnsi="Times New Roman" w:cs="Times New Roman"/>
      <w:sz w:val="24"/>
      <w:szCs w:val="20"/>
    </w:rPr>
  </w:style>
  <w:style w:type="paragraph" w:styleId="Betarp">
    <w:name w:val="No Spacing"/>
    <w:uiPriority w:val="1"/>
    <w:qFormat/>
    <w:rsid w:val="008D5EC0"/>
    <w:pPr>
      <w:spacing w:after="0" w:line="240" w:lineRule="auto"/>
    </w:pPr>
  </w:style>
  <w:style w:type="character" w:customStyle="1" w:styleId="UnresolvedMention">
    <w:name w:val="Unresolved Mention"/>
    <w:basedOn w:val="Numatytasispastraiposriftas"/>
    <w:uiPriority w:val="99"/>
    <w:semiHidden/>
    <w:unhideWhenUsed/>
    <w:rsid w:val="005A5B2B"/>
    <w:rPr>
      <w:color w:val="605E5C"/>
      <w:shd w:val="clear" w:color="auto" w:fill="E1DFDD"/>
    </w:rPr>
  </w:style>
  <w:style w:type="paragraph" w:customStyle="1" w:styleId="Default">
    <w:name w:val="Default"/>
    <w:rsid w:val="00293A82"/>
    <w:pPr>
      <w:autoSpaceDE w:val="0"/>
      <w:autoSpaceDN w:val="0"/>
      <w:adjustRightInd w:val="0"/>
      <w:spacing w:after="0" w:line="240" w:lineRule="auto"/>
    </w:pPr>
    <w:rPr>
      <w:rFonts w:ascii="Corbel" w:hAnsi="Corbel" w:cs="Corbel"/>
      <w:color w:val="000000"/>
      <w:sz w:val="24"/>
      <w:szCs w:val="24"/>
    </w:rPr>
  </w:style>
  <w:style w:type="paragraph" w:styleId="Puslapioinaostekstas">
    <w:name w:val="footnote text"/>
    <w:basedOn w:val="prastasis"/>
    <w:link w:val="PuslapioinaostekstasDiagrama"/>
    <w:uiPriority w:val="99"/>
    <w:semiHidden/>
    <w:unhideWhenUsed/>
    <w:rsid w:val="001E539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E5396"/>
    <w:rPr>
      <w:sz w:val="20"/>
      <w:szCs w:val="20"/>
    </w:rPr>
  </w:style>
  <w:style w:type="character" w:styleId="Puslapioinaosnuoroda">
    <w:name w:val="footnote reference"/>
    <w:basedOn w:val="Numatytasispastraiposriftas"/>
    <w:uiPriority w:val="99"/>
    <w:semiHidden/>
    <w:unhideWhenUsed/>
    <w:rsid w:val="001E539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052A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F6B9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F6B95"/>
  </w:style>
  <w:style w:type="paragraph" w:styleId="Porat">
    <w:name w:val="footer"/>
    <w:basedOn w:val="prastasis"/>
    <w:link w:val="PoratDiagrama"/>
    <w:uiPriority w:val="99"/>
    <w:unhideWhenUsed/>
    <w:rsid w:val="007F6B9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F6B95"/>
  </w:style>
  <w:style w:type="paragraph" w:styleId="Debesliotekstas">
    <w:name w:val="Balloon Text"/>
    <w:basedOn w:val="prastasis"/>
    <w:link w:val="DebesliotekstasDiagrama"/>
    <w:uiPriority w:val="99"/>
    <w:semiHidden/>
    <w:unhideWhenUsed/>
    <w:rsid w:val="007F6B9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6B95"/>
    <w:rPr>
      <w:rFonts w:ascii="Tahoma" w:hAnsi="Tahoma" w:cs="Tahoma"/>
      <w:sz w:val="16"/>
      <w:szCs w:val="16"/>
    </w:rPr>
  </w:style>
  <w:style w:type="character" w:styleId="Hipersaitas">
    <w:name w:val="Hyperlink"/>
    <w:basedOn w:val="Numatytasispastraiposriftas"/>
    <w:uiPriority w:val="99"/>
    <w:unhideWhenUsed/>
    <w:rsid w:val="00F2373E"/>
    <w:rPr>
      <w:color w:val="0000FF" w:themeColor="hyperlink"/>
      <w:u w:val="single"/>
    </w:rPr>
  </w:style>
  <w:style w:type="table" w:styleId="Lentelstinklelis">
    <w:name w:val="Table Grid"/>
    <w:basedOn w:val="prastojilentel"/>
    <w:uiPriority w:val="59"/>
    <w:rsid w:val="00752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8A79BF"/>
    <w:rPr>
      <w:i/>
      <w:iCs/>
    </w:rPr>
  </w:style>
  <w:style w:type="character" w:styleId="Grietas">
    <w:name w:val="Strong"/>
    <w:basedOn w:val="Numatytasispastraiposriftas"/>
    <w:uiPriority w:val="22"/>
    <w:qFormat/>
    <w:rsid w:val="008A79BF"/>
    <w:rPr>
      <w:b/>
      <w:bCs/>
    </w:rPr>
  </w:style>
  <w:style w:type="paragraph" w:styleId="Sraopastraipa">
    <w:name w:val="List Paragraph"/>
    <w:basedOn w:val="prastasis"/>
    <w:uiPriority w:val="34"/>
    <w:qFormat/>
    <w:rsid w:val="0042435F"/>
    <w:pPr>
      <w:ind w:left="720"/>
      <w:contextualSpacing/>
    </w:pPr>
  </w:style>
  <w:style w:type="paragraph" w:styleId="Pagrindinistekstas">
    <w:name w:val="Body Text"/>
    <w:basedOn w:val="prastasis"/>
    <w:link w:val="PagrindinistekstasDiagrama"/>
    <w:semiHidden/>
    <w:unhideWhenUsed/>
    <w:rsid w:val="00A215AE"/>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semiHidden/>
    <w:rsid w:val="00A215AE"/>
    <w:rPr>
      <w:rFonts w:ascii="Times New Roman" w:eastAsia="Times New Roman" w:hAnsi="Times New Roman" w:cs="Times New Roman"/>
      <w:sz w:val="24"/>
      <w:szCs w:val="20"/>
    </w:rPr>
  </w:style>
  <w:style w:type="paragraph" w:styleId="Betarp">
    <w:name w:val="No Spacing"/>
    <w:uiPriority w:val="1"/>
    <w:qFormat/>
    <w:rsid w:val="008D5EC0"/>
    <w:pPr>
      <w:spacing w:after="0" w:line="240" w:lineRule="auto"/>
    </w:pPr>
  </w:style>
  <w:style w:type="character" w:customStyle="1" w:styleId="UnresolvedMention">
    <w:name w:val="Unresolved Mention"/>
    <w:basedOn w:val="Numatytasispastraiposriftas"/>
    <w:uiPriority w:val="99"/>
    <w:semiHidden/>
    <w:unhideWhenUsed/>
    <w:rsid w:val="005A5B2B"/>
    <w:rPr>
      <w:color w:val="605E5C"/>
      <w:shd w:val="clear" w:color="auto" w:fill="E1DFDD"/>
    </w:rPr>
  </w:style>
  <w:style w:type="paragraph" w:customStyle="1" w:styleId="Default">
    <w:name w:val="Default"/>
    <w:rsid w:val="00293A82"/>
    <w:pPr>
      <w:autoSpaceDE w:val="0"/>
      <w:autoSpaceDN w:val="0"/>
      <w:adjustRightInd w:val="0"/>
      <w:spacing w:after="0" w:line="240" w:lineRule="auto"/>
    </w:pPr>
    <w:rPr>
      <w:rFonts w:ascii="Corbel" w:hAnsi="Corbel" w:cs="Corbel"/>
      <w:color w:val="000000"/>
      <w:sz w:val="24"/>
      <w:szCs w:val="24"/>
    </w:rPr>
  </w:style>
  <w:style w:type="paragraph" w:styleId="Puslapioinaostekstas">
    <w:name w:val="footnote text"/>
    <w:basedOn w:val="prastasis"/>
    <w:link w:val="PuslapioinaostekstasDiagrama"/>
    <w:uiPriority w:val="99"/>
    <w:semiHidden/>
    <w:unhideWhenUsed/>
    <w:rsid w:val="001E539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E5396"/>
    <w:rPr>
      <w:sz w:val="20"/>
      <w:szCs w:val="20"/>
    </w:rPr>
  </w:style>
  <w:style w:type="character" w:styleId="Puslapioinaosnuoroda">
    <w:name w:val="footnote reference"/>
    <w:basedOn w:val="Numatytasispastraiposriftas"/>
    <w:uiPriority w:val="99"/>
    <w:semiHidden/>
    <w:unhideWhenUsed/>
    <w:rsid w:val="001E53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95489">
      <w:bodyDiv w:val="1"/>
      <w:marLeft w:val="0"/>
      <w:marRight w:val="0"/>
      <w:marTop w:val="0"/>
      <w:marBottom w:val="0"/>
      <w:divBdr>
        <w:top w:val="none" w:sz="0" w:space="0" w:color="auto"/>
        <w:left w:val="none" w:sz="0" w:space="0" w:color="auto"/>
        <w:bottom w:val="none" w:sz="0" w:space="0" w:color="auto"/>
        <w:right w:val="none" w:sz="0" w:space="0" w:color="auto"/>
      </w:divBdr>
    </w:div>
    <w:div w:id="59183645">
      <w:bodyDiv w:val="1"/>
      <w:marLeft w:val="0"/>
      <w:marRight w:val="0"/>
      <w:marTop w:val="0"/>
      <w:marBottom w:val="0"/>
      <w:divBdr>
        <w:top w:val="none" w:sz="0" w:space="0" w:color="auto"/>
        <w:left w:val="none" w:sz="0" w:space="0" w:color="auto"/>
        <w:bottom w:val="none" w:sz="0" w:space="0" w:color="auto"/>
        <w:right w:val="none" w:sz="0" w:space="0" w:color="auto"/>
      </w:divBdr>
    </w:div>
    <w:div w:id="117921002">
      <w:bodyDiv w:val="1"/>
      <w:marLeft w:val="0"/>
      <w:marRight w:val="0"/>
      <w:marTop w:val="0"/>
      <w:marBottom w:val="0"/>
      <w:divBdr>
        <w:top w:val="none" w:sz="0" w:space="0" w:color="auto"/>
        <w:left w:val="none" w:sz="0" w:space="0" w:color="auto"/>
        <w:bottom w:val="none" w:sz="0" w:space="0" w:color="auto"/>
        <w:right w:val="none" w:sz="0" w:space="0" w:color="auto"/>
      </w:divBdr>
    </w:div>
    <w:div w:id="283733909">
      <w:bodyDiv w:val="1"/>
      <w:marLeft w:val="0"/>
      <w:marRight w:val="0"/>
      <w:marTop w:val="0"/>
      <w:marBottom w:val="0"/>
      <w:divBdr>
        <w:top w:val="none" w:sz="0" w:space="0" w:color="auto"/>
        <w:left w:val="none" w:sz="0" w:space="0" w:color="auto"/>
        <w:bottom w:val="none" w:sz="0" w:space="0" w:color="auto"/>
        <w:right w:val="none" w:sz="0" w:space="0" w:color="auto"/>
      </w:divBdr>
    </w:div>
    <w:div w:id="287785027">
      <w:bodyDiv w:val="1"/>
      <w:marLeft w:val="0"/>
      <w:marRight w:val="0"/>
      <w:marTop w:val="0"/>
      <w:marBottom w:val="0"/>
      <w:divBdr>
        <w:top w:val="none" w:sz="0" w:space="0" w:color="auto"/>
        <w:left w:val="none" w:sz="0" w:space="0" w:color="auto"/>
        <w:bottom w:val="none" w:sz="0" w:space="0" w:color="auto"/>
        <w:right w:val="none" w:sz="0" w:space="0" w:color="auto"/>
      </w:divBdr>
    </w:div>
    <w:div w:id="337120078">
      <w:bodyDiv w:val="1"/>
      <w:marLeft w:val="0"/>
      <w:marRight w:val="0"/>
      <w:marTop w:val="0"/>
      <w:marBottom w:val="0"/>
      <w:divBdr>
        <w:top w:val="none" w:sz="0" w:space="0" w:color="auto"/>
        <w:left w:val="none" w:sz="0" w:space="0" w:color="auto"/>
        <w:bottom w:val="none" w:sz="0" w:space="0" w:color="auto"/>
        <w:right w:val="none" w:sz="0" w:space="0" w:color="auto"/>
      </w:divBdr>
    </w:div>
    <w:div w:id="339044331">
      <w:bodyDiv w:val="1"/>
      <w:marLeft w:val="0"/>
      <w:marRight w:val="0"/>
      <w:marTop w:val="0"/>
      <w:marBottom w:val="0"/>
      <w:divBdr>
        <w:top w:val="none" w:sz="0" w:space="0" w:color="auto"/>
        <w:left w:val="none" w:sz="0" w:space="0" w:color="auto"/>
        <w:bottom w:val="none" w:sz="0" w:space="0" w:color="auto"/>
        <w:right w:val="none" w:sz="0" w:space="0" w:color="auto"/>
      </w:divBdr>
    </w:div>
    <w:div w:id="355468632">
      <w:bodyDiv w:val="1"/>
      <w:marLeft w:val="0"/>
      <w:marRight w:val="0"/>
      <w:marTop w:val="0"/>
      <w:marBottom w:val="0"/>
      <w:divBdr>
        <w:top w:val="none" w:sz="0" w:space="0" w:color="auto"/>
        <w:left w:val="none" w:sz="0" w:space="0" w:color="auto"/>
        <w:bottom w:val="none" w:sz="0" w:space="0" w:color="auto"/>
        <w:right w:val="none" w:sz="0" w:space="0" w:color="auto"/>
      </w:divBdr>
    </w:div>
    <w:div w:id="361054096">
      <w:bodyDiv w:val="1"/>
      <w:marLeft w:val="0"/>
      <w:marRight w:val="0"/>
      <w:marTop w:val="0"/>
      <w:marBottom w:val="0"/>
      <w:divBdr>
        <w:top w:val="none" w:sz="0" w:space="0" w:color="auto"/>
        <w:left w:val="none" w:sz="0" w:space="0" w:color="auto"/>
        <w:bottom w:val="none" w:sz="0" w:space="0" w:color="auto"/>
        <w:right w:val="none" w:sz="0" w:space="0" w:color="auto"/>
      </w:divBdr>
    </w:div>
    <w:div w:id="366490623">
      <w:bodyDiv w:val="1"/>
      <w:marLeft w:val="0"/>
      <w:marRight w:val="0"/>
      <w:marTop w:val="0"/>
      <w:marBottom w:val="0"/>
      <w:divBdr>
        <w:top w:val="none" w:sz="0" w:space="0" w:color="auto"/>
        <w:left w:val="none" w:sz="0" w:space="0" w:color="auto"/>
        <w:bottom w:val="none" w:sz="0" w:space="0" w:color="auto"/>
        <w:right w:val="none" w:sz="0" w:space="0" w:color="auto"/>
      </w:divBdr>
    </w:div>
    <w:div w:id="432211528">
      <w:bodyDiv w:val="1"/>
      <w:marLeft w:val="0"/>
      <w:marRight w:val="0"/>
      <w:marTop w:val="0"/>
      <w:marBottom w:val="0"/>
      <w:divBdr>
        <w:top w:val="none" w:sz="0" w:space="0" w:color="auto"/>
        <w:left w:val="none" w:sz="0" w:space="0" w:color="auto"/>
        <w:bottom w:val="none" w:sz="0" w:space="0" w:color="auto"/>
        <w:right w:val="none" w:sz="0" w:space="0" w:color="auto"/>
      </w:divBdr>
    </w:div>
    <w:div w:id="511578126">
      <w:bodyDiv w:val="1"/>
      <w:marLeft w:val="0"/>
      <w:marRight w:val="0"/>
      <w:marTop w:val="0"/>
      <w:marBottom w:val="0"/>
      <w:divBdr>
        <w:top w:val="none" w:sz="0" w:space="0" w:color="auto"/>
        <w:left w:val="none" w:sz="0" w:space="0" w:color="auto"/>
        <w:bottom w:val="none" w:sz="0" w:space="0" w:color="auto"/>
        <w:right w:val="none" w:sz="0" w:space="0" w:color="auto"/>
      </w:divBdr>
    </w:div>
    <w:div w:id="567302982">
      <w:bodyDiv w:val="1"/>
      <w:marLeft w:val="0"/>
      <w:marRight w:val="0"/>
      <w:marTop w:val="0"/>
      <w:marBottom w:val="0"/>
      <w:divBdr>
        <w:top w:val="none" w:sz="0" w:space="0" w:color="auto"/>
        <w:left w:val="none" w:sz="0" w:space="0" w:color="auto"/>
        <w:bottom w:val="none" w:sz="0" w:space="0" w:color="auto"/>
        <w:right w:val="none" w:sz="0" w:space="0" w:color="auto"/>
      </w:divBdr>
    </w:div>
    <w:div w:id="633100617">
      <w:bodyDiv w:val="1"/>
      <w:marLeft w:val="0"/>
      <w:marRight w:val="0"/>
      <w:marTop w:val="0"/>
      <w:marBottom w:val="0"/>
      <w:divBdr>
        <w:top w:val="none" w:sz="0" w:space="0" w:color="auto"/>
        <w:left w:val="none" w:sz="0" w:space="0" w:color="auto"/>
        <w:bottom w:val="none" w:sz="0" w:space="0" w:color="auto"/>
        <w:right w:val="none" w:sz="0" w:space="0" w:color="auto"/>
      </w:divBdr>
    </w:div>
    <w:div w:id="697124598">
      <w:bodyDiv w:val="1"/>
      <w:marLeft w:val="0"/>
      <w:marRight w:val="0"/>
      <w:marTop w:val="0"/>
      <w:marBottom w:val="0"/>
      <w:divBdr>
        <w:top w:val="none" w:sz="0" w:space="0" w:color="auto"/>
        <w:left w:val="none" w:sz="0" w:space="0" w:color="auto"/>
        <w:bottom w:val="none" w:sz="0" w:space="0" w:color="auto"/>
        <w:right w:val="none" w:sz="0" w:space="0" w:color="auto"/>
      </w:divBdr>
    </w:div>
    <w:div w:id="844366720">
      <w:bodyDiv w:val="1"/>
      <w:marLeft w:val="0"/>
      <w:marRight w:val="0"/>
      <w:marTop w:val="0"/>
      <w:marBottom w:val="0"/>
      <w:divBdr>
        <w:top w:val="none" w:sz="0" w:space="0" w:color="auto"/>
        <w:left w:val="none" w:sz="0" w:space="0" w:color="auto"/>
        <w:bottom w:val="none" w:sz="0" w:space="0" w:color="auto"/>
        <w:right w:val="none" w:sz="0" w:space="0" w:color="auto"/>
      </w:divBdr>
    </w:div>
    <w:div w:id="911550920">
      <w:bodyDiv w:val="1"/>
      <w:marLeft w:val="0"/>
      <w:marRight w:val="0"/>
      <w:marTop w:val="0"/>
      <w:marBottom w:val="0"/>
      <w:divBdr>
        <w:top w:val="none" w:sz="0" w:space="0" w:color="auto"/>
        <w:left w:val="none" w:sz="0" w:space="0" w:color="auto"/>
        <w:bottom w:val="none" w:sz="0" w:space="0" w:color="auto"/>
        <w:right w:val="none" w:sz="0" w:space="0" w:color="auto"/>
      </w:divBdr>
    </w:div>
    <w:div w:id="1037124935">
      <w:bodyDiv w:val="1"/>
      <w:marLeft w:val="0"/>
      <w:marRight w:val="0"/>
      <w:marTop w:val="0"/>
      <w:marBottom w:val="0"/>
      <w:divBdr>
        <w:top w:val="none" w:sz="0" w:space="0" w:color="auto"/>
        <w:left w:val="none" w:sz="0" w:space="0" w:color="auto"/>
        <w:bottom w:val="none" w:sz="0" w:space="0" w:color="auto"/>
        <w:right w:val="none" w:sz="0" w:space="0" w:color="auto"/>
      </w:divBdr>
    </w:div>
    <w:div w:id="1050424191">
      <w:bodyDiv w:val="1"/>
      <w:marLeft w:val="0"/>
      <w:marRight w:val="0"/>
      <w:marTop w:val="0"/>
      <w:marBottom w:val="0"/>
      <w:divBdr>
        <w:top w:val="none" w:sz="0" w:space="0" w:color="auto"/>
        <w:left w:val="none" w:sz="0" w:space="0" w:color="auto"/>
        <w:bottom w:val="none" w:sz="0" w:space="0" w:color="auto"/>
        <w:right w:val="none" w:sz="0" w:space="0" w:color="auto"/>
      </w:divBdr>
    </w:div>
    <w:div w:id="1076198679">
      <w:bodyDiv w:val="1"/>
      <w:marLeft w:val="0"/>
      <w:marRight w:val="0"/>
      <w:marTop w:val="0"/>
      <w:marBottom w:val="0"/>
      <w:divBdr>
        <w:top w:val="none" w:sz="0" w:space="0" w:color="auto"/>
        <w:left w:val="none" w:sz="0" w:space="0" w:color="auto"/>
        <w:bottom w:val="none" w:sz="0" w:space="0" w:color="auto"/>
        <w:right w:val="none" w:sz="0" w:space="0" w:color="auto"/>
      </w:divBdr>
    </w:div>
    <w:div w:id="1099450055">
      <w:bodyDiv w:val="1"/>
      <w:marLeft w:val="0"/>
      <w:marRight w:val="0"/>
      <w:marTop w:val="0"/>
      <w:marBottom w:val="0"/>
      <w:divBdr>
        <w:top w:val="none" w:sz="0" w:space="0" w:color="auto"/>
        <w:left w:val="none" w:sz="0" w:space="0" w:color="auto"/>
        <w:bottom w:val="none" w:sz="0" w:space="0" w:color="auto"/>
        <w:right w:val="none" w:sz="0" w:space="0" w:color="auto"/>
      </w:divBdr>
    </w:div>
    <w:div w:id="1132284129">
      <w:bodyDiv w:val="1"/>
      <w:marLeft w:val="0"/>
      <w:marRight w:val="0"/>
      <w:marTop w:val="0"/>
      <w:marBottom w:val="0"/>
      <w:divBdr>
        <w:top w:val="none" w:sz="0" w:space="0" w:color="auto"/>
        <w:left w:val="none" w:sz="0" w:space="0" w:color="auto"/>
        <w:bottom w:val="none" w:sz="0" w:space="0" w:color="auto"/>
        <w:right w:val="none" w:sz="0" w:space="0" w:color="auto"/>
      </w:divBdr>
    </w:div>
    <w:div w:id="1183515052">
      <w:bodyDiv w:val="1"/>
      <w:marLeft w:val="0"/>
      <w:marRight w:val="0"/>
      <w:marTop w:val="0"/>
      <w:marBottom w:val="0"/>
      <w:divBdr>
        <w:top w:val="none" w:sz="0" w:space="0" w:color="auto"/>
        <w:left w:val="none" w:sz="0" w:space="0" w:color="auto"/>
        <w:bottom w:val="none" w:sz="0" w:space="0" w:color="auto"/>
        <w:right w:val="none" w:sz="0" w:space="0" w:color="auto"/>
      </w:divBdr>
    </w:div>
    <w:div w:id="1315404033">
      <w:bodyDiv w:val="1"/>
      <w:marLeft w:val="0"/>
      <w:marRight w:val="0"/>
      <w:marTop w:val="0"/>
      <w:marBottom w:val="0"/>
      <w:divBdr>
        <w:top w:val="none" w:sz="0" w:space="0" w:color="auto"/>
        <w:left w:val="none" w:sz="0" w:space="0" w:color="auto"/>
        <w:bottom w:val="none" w:sz="0" w:space="0" w:color="auto"/>
        <w:right w:val="none" w:sz="0" w:space="0" w:color="auto"/>
      </w:divBdr>
    </w:div>
    <w:div w:id="1354844754">
      <w:bodyDiv w:val="1"/>
      <w:marLeft w:val="0"/>
      <w:marRight w:val="0"/>
      <w:marTop w:val="0"/>
      <w:marBottom w:val="0"/>
      <w:divBdr>
        <w:top w:val="none" w:sz="0" w:space="0" w:color="auto"/>
        <w:left w:val="none" w:sz="0" w:space="0" w:color="auto"/>
        <w:bottom w:val="none" w:sz="0" w:space="0" w:color="auto"/>
        <w:right w:val="none" w:sz="0" w:space="0" w:color="auto"/>
      </w:divBdr>
    </w:div>
    <w:div w:id="1358196866">
      <w:bodyDiv w:val="1"/>
      <w:marLeft w:val="0"/>
      <w:marRight w:val="0"/>
      <w:marTop w:val="0"/>
      <w:marBottom w:val="0"/>
      <w:divBdr>
        <w:top w:val="none" w:sz="0" w:space="0" w:color="auto"/>
        <w:left w:val="none" w:sz="0" w:space="0" w:color="auto"/>
        <w:bottom w:val="none" w:sz="0" w:space="0" w:color="auto"/>
        <w:right w:val="none" w:sz="0" w:space="0" w:color="auto"/>
      </w:divBdr>
    </w:div>
    <w:div w:id="1484617335">
      <w:bodyDiv w:val="1"/>
      <w:marLeft w:val="0"/>
      <w:marRight w:val="0"/>
      <w:marTop w:val="0"/>
      <w:marBottom w:val="0"/>
      <w:divBdr>
        <w:top w:val="none" w:sz="0" w:space="0" w:color="auto"/>
        <w:left w:val="none" w:sz="0" w:space="0" w:color="auto"/>
        <w:bottom w:val="none" w:sz="0" w:space="0" w:color="auto"/>
        <w:right w:val="none" w:sz="0" w:space="0" w:color="auto"/>
      </w:divBdr>
    </w:div>
    <w:div w:id="1514412809">
      <w:bodyDiv w:val="1"/>
      <w:marLeft w:val="0"/>
      <w:marRight w:val="0"/>
      <w:marTop w:val="0"/>
      <w:marBottom w:val="0"/>
      <w:divBdr>
        <w:top w:val="none" w:sz="0" w:space="0" w:color="auto"/>
        <w:left w:val="none" w:sz="0" w:space="0" w:color="auto"/>
        <w:bottom w:val="none" w:sz="0" w:space="0" w:color="auto"/>
        <w:right w:val="none" w:sz="0" w:space="0" w:color="auto"/>
      </w:divBdr>
    </w:div>
    <w:div w:id="1623608305">
      <w:bodyDiv w:val="1"/>
      <w:marLeft w:val="0"/>
      <w:marRight w:val="0"/>
      <w:marTop w:val="0"/>
      <w:marBottom w:val="0"/>
      <w:divBdr>
        <w:top w:val="none" w:sz="0" w:space="0" w:color="auto"/>
        <w:left w:val="none" w:sz="0" w:space="0" w:color="auto"/>
        <w:bottom w:val="none" w:sz="0" w:space="0" w:color="auto"/>
        <w:right w:val="none" w:sz="0" w:space="0" w:color="auto"/>
      </w:divBdr>
    </w:div>
    <w:div w:id="1690985569">
      <w:bodyDiv w:val="1"/>
      <w:marLeft w:val="0"/>
      <w:marRight w:val="0"/>
      <w:marTop w:val="0"/>
      <w:marBottom w:val="0"/>
      <w:divBdr>
        <w:top w:val="none" w:sz="0" w:space="0" w:color="auto"/>
        <w:left w:val="none" w:sz="0" w:space="0" w:color="auto"/>
        <w:bottom w:val="none" w:sz="0" w:space="0" w:color="auto"/>
        <w:right w:val="none" w:sz="0" w:space="0" w:color="auto"/>
      </w:divBdr>
    </w:div>
    <w:div w:id="1822967086">
      <w:bodyDiv w:val="1"/>
      <w:marLeft w:val="0"/>
      <w:marRight w:val="0"/>
      <w:marTop w:val="0"/>
      <w:marBottom w:val="0"/>
      <w:divBdr>
        <w:top w:val="none" w:sz="0" w:space="0" w:color="auto"/>
        <w:left w:val="none" w:sz="0" w:space="0" w:color="auto"/>
        <w:bottom w:val="none" w:sz="0" w:space="0" w:color="auto"/>
        <w:right w:val="none" w:sz="0" w:space="0" w:color="auto"/>
      </w:divBdr>
    </w:div>
    <w:div w:id="2066710326">
      <w:bodyDiv w:val="1"/>
      <w:marLeft w:val="0"/>
      <w:marRight w:val="0"/>
      <w:marTop w:val="0"/>
      <w:marBottom w:val="0"/>
      <w:divBdr>
        <w:top w:val="none" w:sz="0" w:space="0" w:color="auto"/>
        <w:left w:val="none" w:sz="0" w:space="0" w:color="auto"/>
        <w:bottom w:val="none" w:sz="0" w:space="0" w:color="auto"/>
        <w:right w:val="none" w:sz="0" w:space="0" w:color="auto"/>
      </w:divBdr>
    </w:div>
    <w:div w:id="2073699281">
      <w:bodyDiv w:val="1"/>
      <w:marLeft w:val="0"/>
      <w:marRight w:val="0"/>
      <w:marTop w:val="0"/>
      <w:marBottom w:val="0"/>
      <w:divBdr>
        <w:top w:val="none" w:sz="0" w:space="0" w:color="auto"/>
        <w:left w:val="none" w:sz="0" w:space="0" w:color="auto"/>
        <w:bottom w:val="none" w:sz="0" w:space="0" w:color="auto"/>
        <w:right w:val="none" w:sz="0" w:space="0" w:color="auto"/>
      </w:divBdr>
    </w:div>
    <w:div w:id="2081248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rektorius@plunge.lt" TargetMode="Externa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6C97B-FCC8-4E9C-8E0B-27F8055E9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79671368</Template>
  <TotalTime>18</TotalTime>
  <Pages>1</Pages>
  <Words>8424</Words>
  <Characters>4802</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Martynas Tamulis</dc:creator>
  <cp:keywords/>
  <dc:description/>
  <cp:lastModifiedBy>Margarita Charitonova</cp:lastModifiedBy>
  <cp:revision>2</cp:revision>
  <cp:lastPrinted>2021-09-13T05:48:00Z</cp:lastPrinted>
  <dcterms:created xsi:type="dcterms:W3CDTF">2022-09-07T10:47:00Z</dcterms:created>
  <dcterms:modified xsi:type="dcterms:W3CDTF">2022-09-07T10:47:00Z</dcterms:modified>
</cp:coreProperties>
</file>