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theme/themeOverride2.xml" ContentType="application/vnd.openxmlformats-officedocument.themeOverride+xml"/>
  <Override PartName="/word/charts/chart7.xml" ContentType="application/vnd.openxmlformats-officedocument.drawingml.chart+xml"/>
  <Override PartName="/word/theme/themeOverride3.xml" ContentType="application/vnd.openxmlformats-officedocument.themeOverride+xml"/>
  <Override PartName="/word/charts/chart8.xml" ContentType="application/vnd.openxmlformats-officedocument.drawingml.chart+xml"/>
  <Override PartName="/word/charts/chart9.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DF9" w:rsidRPr="00A16F92" w:rsidRDefault="00FA4DF9" w:rsidP="00FA4DF9">
      <w:pPr>
        <w:jc w:val="right"/>
        <w:rPr>
          <w:b/>
          <w:noProof/>
          <w:sz w:val="24"/>
          <w:szCs w:val="24"/>
        </w:rPr>
      </w:pPr>
      <w:r w:rsidRPr="00A16F92">
        <w:rPr>
          <w:b/>
          <w:noProof/>
          <w:sz w:val="24"/>
          <w:szCs w:val="24"/>
        </w:rPr>
        <w:t>Projektas</w:t>
      </w:r>
    </w:p>
    <w:p w:rsidR="00FA4DF9" w:rsidRDefault="00FA4DF9" w:rsidP="00FA4DF9">
      <w:pPr>
        <w:jc w:val="center"/>
        <w:rPr>
          <w:b/>
          <w:noProof/>
          <w:sz w:val="28"/>
        </w:rPr>
      </w:pPr>
      <w:r w:rsidRPr="009F7D43">
        <w:rPr>
          <w:b/>
          <w:noProof/>
          <w:sz w:val="28"/>
        </w:rPr>
        <w:t xml:space="preserve">PLUNGĖS RAJONO SAVIVALDYBĖS </w:t>
      </w:r>
      <w:r w:rsidRPr="009F7D43">
        <w:rPr>
          <w:b/>
          <w:noProof/>
          <w:sz w:val="28"/>
        </w:rPr>
        <w:br/>
        <w:t>TARYBA</w:t>
      </w:r>
    </w:p>
    <w:p w:rsidR="00FA4DF9" w:rsidRDefault="00FA4DF9" w:rsidP="00FA4DF9">
      <w:pPr>
        <w:jc w:val="center"/>
        <w:rPr>
          <w:b/>
          <w:noProof/>
          <w:sz w:val="28"/>
        </w:rPr>
      </w:pPr>
    </w:p>
    <w:p w:rsidR="00FA4DF9" w:rsidRDefault="00FA4DF9" w:rsidP="00FA4DF9">
      <w:pPr>
        <w:jc w:val="center"/>
        <w:rPr>
          <w:b/>
          <w:sz w:val="28"/>
        </w:rPr>
      </w:pPr>
      <w:r w:rsidRPr="009F7D43">
        <w:rPr>
          <w:b/>
          <w:sz w:val="28"/>
        </w:rPr>
        <w:t>SPRENDIMAS</w:t>
      </w:r>
    </w:p>
    <w:p w:rsidR="00FA4DF9" w:rsidRDefault="00FA4DF9" w:rsidP="00FA4DF9">
      <w:pPr>
        <w:jc w:val="center"/>
        <w:rPr>
          <w:b/>
          <w:sz w:val="28"/>
        </w:rPr>
      </w:pPr>
      <w:r w:rsidRPr="009F7D43">
        <w:rPr>
          <w:b/>
          <w:sz w:val="28"/>
        </w:rPr>
        <w:t xml:space="preserve">DĖL </w:t>
      </w:r>
      <w:r w:rsidR="006D4FC5">
        <w:rPr>
          <w:b/>
          <w:sz w:val="28"/>
        </w:rPr>
        <w:t>PLUNGĖS RAJONO SAVIVALDYBĖS 2021</w:t>
      </w:r>
      <w:r w:rsidRPr="009F7D43">
        <w:rPr>
          <w:b/>
          <w:sz w:val="28"/>
        </w:rPr>
        <w:t xml:space="preserve"> METŲ BIUDŽETO VYKDYMO ATASKAITŲ RINKINIO PATVIRTINIMO</w:t>
      </w:r>
    </w:p>
    <w:p w:rsidR="00FA4DF9" w:rsidRDefault="00FA4DF9" w:rsidP="00FA4DF9">
      <w:pPr>
        <w:jc w:val="center"/>
        <w:rPr>
          <w:b/>
          <w:sz w:val="28"/>
        </w:rPr>
      </w:pPr>
    </w:p>
    <w:p w:rsidR="00FA4DF9" w:rsidRPr="00FA4DF9" w:rsidRDefault="00212CD1" w:rsidP="00FA4DF9">
      <w:pPr>
        <w:jc w:val="center"/>
        <w:rPr>
          <w:sz w:val="24"/>
          <w:szCs w:val="24"/>
        </w:rPr>
      </w:pPr>
      <w:r>
        <w:rPr>
          <w:sz w:val="24"/>
          <w:szCs w:val="24"/>
        </w:rPr>
        <w:t xml:space="preserve">2022 </w:t>
      </w:r>
      <w:r w:rsidR="00FA4DF9" w:rsidRPr="00FA4DF9">
        <w:rPr>
          <w:sz w:val="24"/>
          <w:szCs w:val="24"/>
        </w:rPr>
        <w:t xml:space="preserve">m. </w:t>
      </w:r>
      <w:r w:rsidR="000326FC">
        <w:rPr>
          <w:sz w:val="24"/>
          <w:szCs w:val="24"/>
        </w:rPr>
        <w:t xml:space="preserve">liepos </w:t>
      </w:r>
      <w:r w:rsidR="000064B7">
        <w:rPr>
          <w:sz w:val="24"/>
          <w:szCs w:val="24"/>
        </w:rPr>
        <w:t>28</w:t>
      </w:r>
      <w:r w:rsidR="000326FC">
        <w:rPr>
          <w:sz w:val="24"/>
          <w:szCs w:val="24"/>
        </w:rPr>
        <w:t xml:space="preserve"> </w:t>
      </w:r>
      <w:r w:rsidR="00FA4DF9" w:rsidRPr="00FA4DF9">
        <w:rPr>
          <w:sz w:val="24"/>
          <w:szCs w:val="24"/>
        </w:rPr>
        <w:t>d. Nr.</w:t>
      </w:r>
      <w:r w:rsidR="00FA4DF9">
        <w:rPr>
          <w:sz w:val="24"/>
          <w:szCs w:val="24"/>
        </w:rPr>
        <w:t xml:space="preserve"> </w:t>
      </w:r>
      <w:r w:rsidR="00FA4DF9" w:rsidRPr="00FA4DF9">
        <w:rPr>
          <w:sz w:val="24"/>
          <w:szCs w:val="24"/>
        </w:rPr>
        <w:t>T1</w:t>
      </w:r>
      <w:r w:rsidR="007E0FD1">
        <w:rPr>
          <w:sz w:val="24"/>
          <w:szCs w:val="24"/>
        </w:rPr>
        <w:t>-</w:t>
      </w:r>
    </w:p>
    <w:p w:rsidR="00FA4DF9" w:rsidRPr="00FA4DF9" w:rsidRDefault="00FA4DF9" w:rsidP="00FA4DF9">
      <w:pPr>
        <w:jc w:val="center"/>
        <w:rPr>
          <w:sz w:val="24"/>
          <w:szCs w:val="24"/>
        </w:rPr>
      </w:pPr>
      <w:r w:rsidRPr="00FA4DF9">
        <w:rPr>
          <w:sz w:val="24"/>
          <w:szCs w:val="24"/>
        </w:rPr>
        <w:t>Plungė</w:t>
      </w:r>
    </w:p>
    <w:p w:rsidR="00FA4DF9" w:rsidRDefault="00FA4DF9" w:rsidP="00FA4DF9"/>
    <w:p w:rsidR="00FA4DF9" w:rsidRPr="00F40D25" w:rsidRDefault="00FA4DF9" w:rsidP="00FA4DF9">
      <w:pPr>
        <w:ind w:firstLine="720"/>
        <w:jc w:val="both"/>
      </w:pPr>
      <w:r w:rsidRPr="00F40D25">
        <w:rPr>
          <w:sz w:val="24"/>
        </w:rPr>
        <w:t>Vadovaudamasi Lietuvos Respublikos biudžeto sandaros įstatymo 36 straipsnio 3 dalimi ir Lietuvos Respublikos vietos savivaldos įstatymo 16 straipsnio 2 dalies 15 punktu, Plungės rajono savivaldybės taryba n u s p r e n d ž i a:</w:t>
      </w:r>
    </w:p>
    <w:p w:rsidR="00FA4DF9" w:rsidRPr="00F40D25" w:rsidRDefault="00FA4DF9" w:rsidP="00FA4DF9">
      <w:pPr>
        <w:ind w:firstLine="720"/>
        <w:jc w:val="both"/>
        <w:rPr>
          <w:sz w:val="24"/>
        </w:rPr>
      </w:pPr>
      <w:r w:rsidRPr="00F40D25">
        <w:rPr>
          <w:sz w:val="24"/>
        </w:rPr>
        <w:t>Patvirtinti pridedamus:</w:t>
      </w:r>
    </w:p>
    <w:p w:rsidR="00FA4DF9" w:rsidRPr="00F40D25" w:rsidRDefault="00FA4DF9" w:rsidP="00FA4DF9">
      <w:pPr>
        <w:ind w:firstLine="720"/>
        <w:jc w:val="both"/>
        <w:rPr>
          <w:sz w:val="24"/>
        </w:rPr>
      </w:pPr>
      <w:r w:rsidRPr="00F40D25">
        <w:rPr>
          <w:sz w:val="24"/>
        </w:rPr>
        <w:t xml:space="preserve">1. </w:t>
      </w:r>
      <w:r w:rsidR="006D4FC5">
        <w:rPr>
          <w:sz w:val="24"/>
        </w:rPr>
        <w:t>Plungės rajono savivaldybės 2021</w:t>
      </w:r>
      <w:r w:rsidRPr="00F40D25">
        <w:rPr>
          <w:sz w:val="24"/>
        </w:rPr>
        <w:t xml:space="preserve"> metų biudžeto vykdymo ataskaitų rinkinį (1 priedas):</w:t>
      </w:r>
    </w:p>
    <w:p w:rsidR="00FA4DF9" w:rsidRPr="00F40D25" w:rsidRDefault="00FA4DF9" w:rsidP="00FA4DF9">
      <w:pPr>
        <w:ind w:firstLine="720"/>
        <w:jc w:val="both"/>
        <w:rPr>
          <w:sz w:val="24"/>
        </w:rPr>
      </w:pPr>
      <w:r w:rsidRPr="00F40D25">
        <w:rPr>
          <w:sz w:val="24"/>
        </w:rPr>
        <w:t>1.1. Biudžeto paja</w:t>
      </w:r>
      <w:r w:rsidR="006D4FC5">
        <w:rPr>
          <w:sz w:val="24"/>
        </w:rPr>
        <w:t>mų ir išlaidų plano vykdymo 2021</w:t>
      </w:r>
      <w:r w:rsidRPr="00F40D25">
        <w:rPr>
          <w:sz w:val="24"/>
        </w:rPr>
        <w:t xml:space="preserve"> m. gruodžio 31 d. ataskaitą (forma Nr. 1- sav.);</w:t>
      </w:r>
    </w:p>
    <w:p w:rsidR="00FA4DF9" w:rsidRPr="00F40D25" w:rsidRDefault="00FA4DF9" w:rsidP="00FA4DF9">
      <w:pPr>
        <w:ind w:firstLine="720"/>
        <w:jc w:val="both"/>
        <w:rPr>
          <w:sz w:val="24"/>
        </w:rPr>
      </w:pPr>
      <w:r w:rsidRPr="00F40D25">
        <w:rPr>
          <w:sz w:val="24"/>
        </w:rPr>
        <w:t>1.2. Biudž</w:t>
      </w:r>
      <w:r w:rsidR="006D4FC5">
        <w:rPr>
          <w:sz w:val="24"/>
        </w:rPr>
        <w:t>eto išlaidų sąmatos vykdymo 2021</w:t>
      </w:r>
      <w:r w:rsidRPr="00F40D25">
        <w:rPr>
          <w:sz w:val="24"/>
        </w:rPr>
        <w:t xml:space="preserve"> m. gruodžio 31 d. ataskaitą (forma Nr. 2 - sav.);</w:t>
      </w:r>
    </w:p>
    <w:p w:rsidR="00FA4DF9" w:rsidRPr="00F40D25" w:rsidRDefault="00FA4DF9" w:rsidP="00FA4DF9">
      <w:pPr>
        <w:ind w:firstLine="720"/>
        <w:jc w:val="both"/>
        <w:rPr>
          <w:sz w:val="24"/>
        </w:rPr>
      </w:pPr>
      <w:r w:rsidRPr="00F40D25">
        <w:rPr>
          <w:sz w:val="24"/>
        </w:rPr>
        <w:t xml:space="preserve">1.3. Paaiškinimą prie </w:t>
      </w:r>
      <w:r w:rsidR="006D4FC5">
        <w:rPr>
          <w:sz w:val="24"/>
        </w:rPr>
        <w:t>Plungės rajono savivaldybės 2021</w:t>
      </w:r>
      <w:r w:rsidR="009306AC">
        <w:rPr>
          <w:sz w:val="24"/>
        </w:rPr>
        <w:t xml:space="preserve"> </w:t>
      </w:r>
      <w:r w:rsidRPr="00F40D25">
        <w:rPr>
          <w:sz w:val="24"/>
        </w:rPr>
        <w:t>metų biudžeto vykdymo ataskaitos.</w:t>
      </w:r>
    </w:p>
    <w:p w:rsidR="00FA4DF9" w:rsidRPr="00212CD1" w:rsidRDefault="00FA4DF9" w:rsidP="00FA4DF9">
      <w:pPr>
        <w:ind w:firstLine="720"/>
        <w:jc w:val="both"/>
        <w:rPr>
          <w:sz w:val="24"/>
        </w:rPr>
      </w:pPr>
      <w:r w:rsidRPr="00F40D25">
        <w:rPr>
          <w:sz w:val="24"/>
        </w:rPr>
        <w:t xml:space="preserve">2. </w:t>
      </w:r>
      <w:r w:rsidR="00E1181A">
        <w:rPr>
          <w:sz w:val="24"/>
        </w:rPr>
        <w:t>53 336,494</w:t>
      </w:r>
      <w:r w:rsidRPr="00F40D25">
        <w:rPr>
          <w:sz w:val="24"/>
        </w:rPr>
        <w:t xml:space="preserve"> tūkst. eurų pajamų (2 priedas), </w:t>
      </w:r>
      <w:r w:rsidRPr="00212CD1">
        <w:rPr>
          <w:sz w:val="24"/>
        </w:rPr>
        <w:t xml:space="preserve">iš jų: </w:t>
      </w:r>
      <w:r w:rsidR="00E1181A" w:rsidRPr="00212CD1">
        <w:rPr>
          <w:sz w:val="24"/>
        </w:rPr>
        <w:t>154,</w:t>
      </w:r>
      <w:r w:rsidR="006D4FC5" w:rsidRPr="00212CD1">
        <w:rPr>
          <w:sz w:val="24"/>
        </w:rPr>
        <w:t>203</w:t>
      </w:r>
      <w:r w:rsidRPr="00212CD1">
        <w:rPr>
          <w:sz w:val="24"/>
        </w:rPr>
        <w:t xml:space="preserve"> tūkst. eurų - iš Savivaldybės biudžeto išlaikomų įstaigų gautų pajamų už prekes ir paslaugas; </w:t>
      </w:r>
      <w:r w:rsidR="00E1181A" w:rsidRPr="00212CD1">
        <w:rPr>
          <w:sz w:val="24"/>
        </w:rPr>
        <w:t>608,</w:t>
      </w:r>
      <w:r w:rsidR="006D4FC5" w:rsidRPr="00212CD1">
        <w:rPr>
          <w:sz w:val="24"/>
        </w:rPr>
        <w:t>272</w:t>
      </w:r>
      <w:r w:rsidRPr="00212CD1">
        <w:rPr>
          <w:sz w:val="24"/>
        </w:rPr>
        <w:t xml:space="preserve"> tūkst. eurų - įmokų už išlaikymą švietimo, socialinės apsaugos ir kitose įstaigose ir </w:t>
      </w:r>
      <w:r w:rsidR="00E1181A" w:rsidRPr="00212CD1">
        <w:rPr>
          <w:sz w:val="24"/>
        </w:rPr>
        <w:t>231,</w:t>
      </w:r>
      <w:r w:rsidR="006D4FC5" w:rsidRPr="00212CD1">
        <w:rPr>
          <w:sz w:val="24"/>
        </w:rPr>
        <w:t>347</w:t>
      </w:r>
      <w:r w:rsidR="00A61239" w:rsidRPr="00212CD1">
        <w:rPr>
          <w:sz w:val="24"/>
        </w:rPr>
        <w:t xml:space="preserve"> </w:t>
      </w:r>
      <w:r w:rsidRPr="00212CD1">
        <w:rPr>
          <w:sz w:val="24"/>
        </w:rPr>
        <w:t>tūkst. eurų - už ilgalaikio ir trumpalaikio materialiojo turto nuomą</w:t>
      </w:r>
      <w:r w:rsidR="00890BEA">
        <w:rPr>
          <w:sz w:val="24"/>
        </w:rPr>
        <w:t xml:space="preserve"> (3 priedas)</w:t>
      </w:r>
      <w:bookmarkStart w:id="0" w:name="_GoBack"/>
      <w:bookmarkEnd w:id="0"/>
      <w:r w:rsidRPr="00212CD1">
        <w:rPr>
          <w:sz w:val="24"/>
        </w:rPr>
        <w:t xml:space="preserve">.  </w:t>
      </w:r>
    </w:p>
    <w:p w:rsidR="00FA4DF9" w:rsidRPr="00B2037C" w:rsidRDefault="00FA4DF9" w:rsidP="00FA4DF9">
      <w:pPr>
        <w:ind w:firstLine="720"/>
        <w:jc w:val="both"/>
        <w:rPr>
          <w:sz w:val="24"/>
        </w:rPr>
      </w:pPr>
      <w:r w:rsidRPr="00212CD1">
        <w:rPr>
          <w:sz w:val="24"/>
        </w:rPr>
        <w:t xml:space="preserve">3. </w:t>
      </w:r>
      <w:r w:rsidR="00E1181A" w:rsidRPr="00212CD1">
        <w:rPr>
          <w:sz w:val="24"/>
        </w:rPr>
        <w:t>57 666,</w:t>
      </w:r>
      <w:r w:rsidR="00366AFF" w:rsidRPr="00212CD1">
        <w:rPr>
          <w:sz w:val="24"/>
        </w:rPr>
        <w:t>206</w:t>
      </w:r>
      <w:r w:rsidRPr="00212CD1">
        <w:rPr>
          <w:sz w:val="24"/>
        </w:rPr>
        <w:t xml:space="preserve"> tūkst. eurų išlaidų (</w:t>
      </w:r>
      <w:r w:rsidR="00366AFF" w:rsidRPr="00212CD1">
        <w:rPr>
          <w:sz w:val="24"/>
        </w:rPr>
        <w:t>53</w:t>
      </w:r>
      <w:r w:rsidR="00E1181A" w:rsidRPr="00212CD1">
        <w:rPr>
          <w:sz w:val="24"/>
        </w:rPr>
        <w:t> 845,</w:t>
      </w:r>
      <w:r w:rsidR="00366AFF" w:rsidRPr="00212CD1">
        <w:rPr>
          <w:sz w:val="24"/>
        </w:rPr>
        <w:t>389</w:t>
      </w:r>
      <w:r w:rsidR="00A61239" w:rsidRPr="00212CD1">
        <w:rPr>
          <w:sz w:val="24"/>
        </w:rPr>
        <w:t xml:space="preserve"> tūkst. eurų – asignavimų, </w:t>
      </w:r>
      <w:r w:rsidR="00366AFF" w:rsidRPr="00212CD1">
        <w:rPr>
          <w:sz w:val="24"/>
        </w:rPr>
        <w:t>3</w:t>
      </w:r>
      <w:r w:rsidR="00E1181A" w:rsidRPr="00212CD1">
        <w:rPr>
          <w:sz w:val="24"/>
        </w:rPr>
        <w:t> 820,</w:t>
      </w:r>
      <w:r w:rsidR="00366AFF" w:rsidRPr="00212CD1">
        <w:rPr>
          <w:sz w:val="24"/>
        </w:rPr>
        <w:t>817</w:t>
      </w:r>
      <w:r w:rsidRPr="00212CD1">
        <w:rPr>
          <w:sz w:val="24"/>
        </w:rPr>
        <w:t xml:space="preserve"> tūkst. eurų - paskoloms grąžinti); iš jų: </w:t>
      </w:r>
      <w:r w:rsidR="00366AFF" w:rsidRPr="00212CD1">
        <w:rPr>
          <w:sz w:val="24"/>
        </w:rPr>
        <w:t>24</w:t>
      </w:r>
      <w:r w:rsidR="00E1181A" w:rsidRPr="00212CD1">
        <w:rPr>
          <w:sz w:val="24"/>
        </w:rPr>
        <w:t> 919,</w:t>
      </w:r>
      <w:r w:rsidR="00366AFF" w:rsidRPr="00212CD1">
        <w:rPr>
          <w:sz w:val="24"/>
        </w:rPr>
        <w:t>049</w:t>
      </w:r>
      <w:r w:rsidRPr="00212CD1">
        <w:rPr>
          <w:sz w:val="24"/>
        </w:rPr>
        <w:t xml:space="preserve"> tūkst. eurų - darbo užmokesčiui ir </w:t>
      </w:r>
      <w:r w:rsidR="00366AFF" w:rsidRPr="00212CD1">
        <w:rPr>
          <w:sz w:val="24"/>
        </w:rPr>
        <w:t>18</w:t>
      </w:r>
      <w:r w:rsidR="00E1181A" w:rsidRPr="00212CD1">
        <w:rPr>
          <w:sz w:val="24"/>
        </w:rPr>
        <w:t> 046</w:t>
      </w:r>
      <w:r w:rsidR="00E1181A" w:rsidRPr="00B2037C">
        <w:rPr>
          <w:sz w:val="24"/>
        </w:rPr>
        <w:t>,</w:t>
      </w:r>
      <w:r w:rsidR="00366AFF" w:rsidRPr="00B2037C">
        <w:rPr>
          <w:sz w:val="24"/>
        </w:rPr>
        <w:t>324</w:t>
      </w:r>
      <w:r w:rsidR="00A61239" w:rsidRPr="00B2037C">
        <w:rPr>
          <w:sz w:val="24"/>
        </w:rPr>
        <w:t xml:space="preserve"> </w:t>
      </w:r>
      <w:r w:rsidRPr="00B2037C">
        <w:rPr>
          <w:sz w:val="24"/>
        </w:rPr>
        <w:t>tūkst. eurų - turtui įsigyti:</w:t>
      </w:r>
    </w:p>
    <w:p w:rsidR="00FA4DF9" w:rsidRPr="00B2037C" w:rsidRDefault="00FA4DF9" w:rsidP="00FA4DF9">
      <w:pPr>
        <w:ind w:firstLine="720"/>
        <w:jc w:val="both"/>
        <w:rPr>
          <w:sz w:val="24"/>
        </w:rPr>
      </w:pPr>
      <w:r w:rsidRPr="00B2037C">
        <w:rPr>
          <w:sz w:val="24"/>
        </w:rPr>
        <w:t>3.1.</w:t>
      </w:r>
      <w:r w:rsidR="0048128B" w:rsidRPr="00B2037C">
        <w:rPr>
          <w:sz w:val="24"/>
        </w:rPr>
        <w:t xml:space="preserve"> </w:t>
      </w:r>
      <w:r w:rsidR="00F40D25" w:rsidRPr="00B2037C">
        <w:rPr>
          <w:sz w:val="24"/>
        </w:rPr>
        <w:t>2</w:t>
      </w:r>
      <w:r w:rsidR="0048128B" w:rsidRPr="00B2037C">
        <w:rPr>
          <w:sz w:val="24"/>
        </w:rPr>
        <w:t>7</w:t>
      </w:r>
      <w:r w:rsidR="00E1181A" w:rsidRPr="00B2037C">
        <w:rPr>
          <w:sz w:val="24"/>
        </w:rPr>
        <w:t> 595,</w:t>
      </w:r>
      <w:r w:rsidR="0048128B" w:rsidRPr="00B2037C">
        <w:rPr>
          <w:sz w:val="24"/>
        </w:rPr>
        <w:t>576</w:t>
      </w:r>
      <w:r w:rsidRPr="00B2037C">
        <w:rPr>
          <w:sz w:val="24"/>
        </w:rPr>
        <w:t xml:space="preserve"> tūkst. eurų - </w:t>
      </w:r>
      <w:proofErr w:type="spellStart"/>
      <w:r w:rsidRPr="00B2037C">
        <w:rPr>
          <w:sz w:val="24"/>
        </w:rPr>
        <w:t>savarankiškosioms</w:t>
      </w:r>
      <w:proofErr w:type="spellEnd"/>
      <w:r w:rsidRPr="00B2037C">
        <w:rPr>
          <w:sz w:val="24"/>
        </w:rPr>
        <w:t xml:space="preserve"> </w:t>
      </w:r>
      <w:r w:rsidR="003D1FB6">
        <w:rPr>
          <w:sz w:val="24"/>
        </w:rPr>
        <w:t>S</w:t>
      </w:r>
      <w:r w:rsidRPr="00B2037C">
        <w:rPr>
          <w:sz w:val="24"/>
        </w:rPr>
        <w:t>avivaldybės funkcijoms vykdyti (4 priedas);</w:t>
      </w:r>
    </w:p>
    <w:p w:rsidR="00FA4DF9" w:rsidRPr="00B2037C" w:rsidRDefault="00FA4DF9" w:rsidP="00FA4DF9">
      <w:pPr>
        <w:ind w:firstLine="720"/>
        <w:jc w:val="both"/>
        <w:rPr>
          <w:sz w:val="24"/>
        </w:rPr>
      </w:pPr>
      <w:r w:rsidRPr="00B2037C">
        <w:rPr>
          <w:sz w:val="24"/>
        </w:rPr>
        <w:t>3.2.</w:t>
      </w:r>
      <w:r w:rsidR="0048128B" w:rsidRPr="00B2037C">
        <w:rPr>
          <w:sz w:val="24"/>
        </w:rPr>
        <w:t xml:space="preserve"> </w:t>
      </w:r>
      <w:r w:rsidR="00A12BED" w:rsidRPr="00B2037C">
        <w:rPr>
          <w:sz w:val="24"/>
        </w:rPr>
        <w:t xml:space="preserve"> </w:t>
      </w:r>
      <w:r w:rsidR="00991B4D" w:rsidRPr="00B2037C">
        <w:rPr>
          <w:sz w:val="24"/>
        </w:rPr>
        <w:t>3</w:t>
      </w:r>
      <w:r w:rsidR="00E1181A" w:rsidRPr="00B2037C">
        <w:rPr>
          <w:sz w:val="24"/>
        </w:rPr>
        <w:t> 386,</w:t>
      </w:r>
      <w:r w:rsidR="0048128B" w:rsidRPr="00B2037C">
        <w:rPr>
          <w:sz w:val="24"/>
        </w:rPr>
        <w:t>816</w:t>
      </w:r>
      <w:r w:rsidRPr="00B2037C">
        <w:rPr>
          <w:sz w:val="24"/>
        </w:rPr>
        <w:t xml:space="preserve"> tūkst. eurų - valstybinėms (perduotoms savivaldybėms) funkcijoms vykdyti (5 priedas);</w:t>
      </w:r>
    </w:p>
    <w:p w:rsidR="00FA4DF9" w:rsidRPr="00B2037C" w:rsidRDefault="00FA4DF9" w:rsidP="00FA4DF9">
      <w:pPr>
        <w:ind w:firstLine="720"/>
        <w:jc w:val="both"/>
        <w:rPr>
          <w:sz w:val="24"/>
        </w:rPr>
      </w:pPr>
      <w:r w:rsidRPr="00B2037C">
        <w:rPr>
          <w:sz w:val="24"/>
        </w:rPr>
        <w:t xml:space="preserve">3.3. </w:t>
      </w:r>
      <w:r w:rsidR="00E1181A" w:rsidRPr="00B2037C">
        <w:rPr>
          <w:sz w:val="24"/>
        </w:rPr>
        <w:t>10 417,</w:t>
      </w:r>
      <w:r w:rsidR="0048128B" w:rsidRPr="00B2037C">
        <w:rPr>
          <w:sz w:val="24"/>
        </w:rPr>
        <w:t>480</w:t>
      </w:r>
      <w:r w:rsidRPr="00B2037C">
        <w:rPr>
          <w:sz w:val="24"/>
        </w:rPr>
        <w:t xml:space="preserve"> tūkst. eurų - įstaigoms </w:t>
      </w:r>
      <w:r w:rsidR="00F40D25" w:rsidRPr="00B2037C">
        <w:rPr>
          <w:sz w:val="24"/>
        </w:rPr>
        <w:t>ugdymo reikmėms</w:t>
      </w:r>
      <w:r w:rsidRPr="00B2037C">
        <w:rPr>
          <w:sz w:val="24"/>
        </w:rPr>
        <w:t xml:space="preserve"> finansuoti (6 priedas);</w:t>
      </w:r>
    </w:p>
    <w:p w:rsidR="00FA4DF9" w:rsidRPr="00B2037C" w:rsidRDefault="00FA4DF9" w:rsidP="00FA4DF9">
      <w:pPr>
        <w:ind w:firstLine="720"/>
        <w:jc w:val="both"/>
        <w:rPr>
          <w:sz w:val="24"/>
        </w:rPr>
      </w:pPr>
      <w:r w:rsidRPr="00B2037C">
        <w:rPr>
          <w:sz w:val="24"/>
        </w:rPr>
        <w:t xml:space="preserve">3.4. </w:t>
      </w:r>
      <w:r w:rsidR="0048128B" w:rsidRPr="00B2037C">
        <w:rPr>
          <w:sz w:val="24"/>
        </w:rPr>
        <w:t>12</w:t>
      </w:r>
      <w:r w:rsidR="00E1181A" w:rsidRPr="00B2037C">
        <w:rPr>
          <w:sz w:val="24"/>
        </w:rPr>
        <w:t> 787,</w:t>
      </w:r>
      <w:r w:rsidR="0048128B" w:rsidRPr="00B2037C">
        <w:rPr>
          <w:sz w:val="24"/>
        </w:rPr>
        <w:t>525</w:t>
      </w:r>
      <w:r w:rsidRPr="00B2037C">
        <w:rPr>
          <w:sz w:val="24"/>
        </w:rPr>
        <w:t xml:space="preserve"> tūkst. eurų - įstaigoms ir projektams iš kitų dotacijų finansuoti (7 priedas);</w:t>
      </w:r>
    </w:p>
    <w:p w:rsidR="00FA4DF9" w:rsidRPr="00B2037C" w:rsidRDefault="00FA4DF9" w:rsidP="00FA4DF9">
      <w:pPr>
        <w:ind w:firstLine="720"/>
        <w:jc w:val="both"/>
        <w:rPr>
          <w:sz w:val="24"/>
        </w:rPr>
      </w:pPr>
      <w:r w:rsidRPr="00B2037C">
        <w:rPr>
          <w:sz w:val="24"/>
        </w:rPr>
        <w:t xml:space="preserve">3.5. </w:t>
      </w:r>
      <w:r w:rsidR="0048128B" w:rsidRPr="00B2037C">
        <w:rPr>
          <w:sz w:val="24"/>
        </w:rPr>
        <w:t>966,464</w:t>
      </w:r>
      <w:r w:rsidRPr="00B2037C">
        <w:rPr>
          <w:sz w:val="24"/>
        </w:rPr>
        <w:t xml:space="preserve"> tūkst. eurų - biudžetinių įstaigų gautų lėšų ir pajamų už nuomą (8 priedas);</w:t>
      </w:r>
    </w:p>
    <w:p w:rsidR="00FA4DF9" w:rsidRPr="00B2037C" w:rsidRDefault="00FA4DF9" w:rsidP="00FA4DF9">
      <w:pPr>
        <w:ind w:firstLine="720"/>
        <w:jc w:val="both"/>
        <w:rPr>
          <w:sz w:val="24"/>
        </w:rPr>
      </w:pPr>
      <w:r w:rsidRPr="00B2037C">
        <w:rPr>
          <w:sz w:val="24"/>
        </w:rPr>
        <w:t xml:space="preserve">3.6. </w:t>
      </w:r>
      <w:r w:rsidR="00A12BED" w:rsidRPr="00B2037C">
        <w:rPr>
          <w:sz w:val="24"/>
        </w:rPr>
        <w:t>2</w:t>
      </w:r>
      <w:r w:rsidR="00E1181A" w:rsidRPr="00B2037C">
        <w:rPr>
          <w:sz w:val="24"/>
        </w:rPr>
        <w:t> 512,</w:t>
      </w:r>
      <w:r w:rsidR="00A12BED" w:rsidRPr="00B2037C">
        <w:rPr>
          <w:sz w:val="24"/>
        </w:rPr>
        <w:t>345 tūkst. eurų – 2020</w:t>
      </w:r>
      <w:r w:rsidRPr="00B2037C">
        <w:rPr>
          <w:sz w:val="24"/>
        </w:rPr>
        <w:t xml:space="preserve"> metai</w:t>
      </w:r>
      <w:r w:rsidR="00196CD4" w:rsidRPr="00B2037C">
        <w:rPr>
          <w:sz w:val="24"/>
        </w:rPr>
        <w:t xml:space="preserve">s nepanaudotų biudžeto lėšų </w:t>
      </w:r>
      <w:r w:rsidRPr="00B2037C">
        <w:rPr>
          <w:sz w:val="24"/>
        </w:rPr>
        <w:t>(9 priedas);</w:t>
      </w:r>
    </w:p>
    <w:p w:rsidR="00FA4DF9" w:rsidRPr="00F40D25" w:rsidRDefault="00FA4DF9" w:rsidP="00FA4DF9">
      <w:pPr>
        <w:ind w:firstLine="720"/>
        <w:jc w:val="both"/>
        <w:rPr>
          <w:sz w:val="24"/>
        </w:rPr>
      </w:pPr>
      <w:r w:rsidRPr="00B2037C">
        <w:rPr>
          <w:sz w:val="24"/>
        </w:rPr>
        <w:t xml:space="preserve">3.7. </w:t>
      </w:r>
      <w:r w:rsidR="00A12BED" w:rsidRPr="00B2037C">
        <w:rPr>
          <w:sz w:val="24"/>
        </w:rPr>
        <w:t>2021</w:t>
      </w:r>
      <w:r w:rsidR="00B967E9" w:rsidRPr="00B2037C">
        <w:rPr>
          <w:sz w:val="24"/>
        </w:rPr>
        <w:t xml:space="preserve"> metų </w:t>
      </w:r>
      <w:r w:rsidRPr="00B2037C">
        <w:rPr>
          <w:sz w:val="24"/>
        </w:rPr>
        <w:t>biudžeto a</w:t>
      </w:r>
      <w:r w:rsidR="00A12BED" w:rsidRPr="00B2037C">
        <w:rPr>
          <w:sz w:val="24"/>
        </w:rPr>
        <w:t>signavimų panaudojimo pagal 2021-2023</w:t>
      </w:r>
      <w:r w:rsidRPr="00B2037C">
        <w:rPr>
          <w:sz w:val="24"/>
        </w:rPr>
        <w:t xml:space="preserve"> metų strateginio veiklos plano programas (10 priedas).</w:t>
      </w:r>
    </w:p>
    <w:p w:rsidR="00FA4DF9" w:rsidRPr="00F40D25" w:rsidRDefault="00FA4DF9" w:rsidP="00FA4DF9">
      <w:pPr>
        <w:jc w:val="both"/>
      </w:pPr>
    </w:p>
    <w:p w:rsidR="00FA4DF9" w:rsidRPr="00F40D25" w:rsidRDefault="00FA4DF9" w:rsidP="00FA4DF9">
      <w:pPr>
        <w:jc w:val="both"/>
      </w:pPr>
    </w:p>
    <w:p w:rsidR="00FA4DF9" w:rsidRPr="00F40D25" w:rsidRDefault="00FA4DF9" w:rsidP="00FA4DF9">
      <w:pPr>
        <w:jc w:val="both"/>
        <w:rPr>
          <w:sz w:val="24"/>
        </w:rPr>
      </w:pPr>
      <w:r w:rsidRPr="00F40D25">
        <w:rPr>
          <w:sz w:val="24"/>
        </w:rPr>
        <w:t xml:space="preserve">Savivaldybės meras                                                                                                     </w:t>
      </w:r>
    </w:p>
    <w:p w:rsidR="00FA4DF9" w:rsidRPr="00F40D25" w:rsidRDefault="00FA4DF9" w:rsidP="00FA4DF9">
      <w:pPr>
        <w:jc w:val="both"/>
        <w:rPr>
          <w:sz w:val="24"/>
        </w:rPr>
      </w:pPr>
    </w:p>
    <w:p w:rsidR="00FA4DF9" w:rsidRDefault="00FA4DF9" w:rsidP="00FA4DF9">
      <w:pPr>
        <w:jc w:val="both"/>
        <w:rPr>
          <w:sz w:val="24"/>
        </w:rPr>
      </w:pPr>
      <w:r w:rsidRPr="00F40D25">
        <w:rPr>
          <w:sz w:val="24"/>
        </w:rPr>
        <w:t>SUDERINTA:</w:t>
      </w:r>
    </w:p>
    <w:p w:rsidR="00314037" w:rsidRPr="00F40D25" w:rsidRDefault="00314037" w:rsidP="00FA4DF9">
      <w:pPr>
        <w:jc w:val="both"/>
        <w:rPr>
          <w:sz w:val="24"/>
        </w:rPr>
      </w:pPr>
      <w:r w:rsidRPr="00314037">
        <w:rPr>
          <w:sz w:val="24"/>
        </w:rPr>
        <w:t>Administracijos direktorius M</w:t>
      </w:r>
      <w:r w:rsidR="003D1FB6">
        <w:rPr>
          <w:sz w:val="24"/>
        </w:rPr>
        <w:t xml:space="preserve">indaugas </w:t>
      </w:r>
      <w:r w:rsidRPr="00314037">
        <w:rPr>
          <w:sz w:val="24"/>
        </w:rPr>
        <w:t>Kaunas</w:t>
      </w:r>
    </w:p>
    <w:p w:rsidR="0050303C" w:rsidRPr="00F40D25" w:rsidRDefault="0050303C" w:rsidP="00FA4DF9">
      <w:pPr>
        <w:jc w:val="both"/>
        <w:rPr>
          <w:sz w:val="24"/>
          <w:szCs w:val="24"/>
        </w:rPr>
      </w:pPr>
      <w:r w:rsidRPr="00F40D25">
        <w:rPr>
          <w:sz w:val="24"/>
          <w:szCs w:val="24"/>
        </w:rPr>
        <w:t>Finansų ir biudžeto skyriaus vedėja D</w:t>
      </w:r>
      <w:r w:rsidR="003D1FB6">
        <w:rPr>
          <w:sz w:val="24"/>
          <w:szCs w:val="24"/>
        </w:rPr>
        <w:t xml:space="preserve">aiva </w:t>
      </w:r>
      <w:r w:rsidRPr="00F40D25">
        <w:rPr>
          <w:sz w:val="24"/>
          <w:szCs w:val="24"/>
        </w:rPr>
        <w:t>Mažeikienė</w:t>
      </w:r>
    </w:p>
    <w:p w:rsidR="00B2037C" w:rsidRDefault="003D1FB6" w:rsidP="00FA4DF9">
      <w:pPr>
        <w:jc w:val="both"/>
        <w:rPr>
          <w:sz w:val="24"/>
          <w:szCs w:val="24"/>
        </w:rPr>
      </w:pPr>
      <w:r>
        <w:rPr>
          <w:sz w:val="24"/>
          <w:szCs w:val="24"/>
        </w:rPr>
        <w:t>Protokolo skyriaus k</w:t>
      </w:r>
      <w:r w:rsidR="00B2037C">
        <w:rPr>
          <w:sz w:val="24"/>
          <w:szCs w:val="24"/>
        </w:rPr>
        <w:t>albos tvarkytoja</w:t>
      </w:r>
      <w:r w:rsidR="00FA4DF9" w:rsidRPr="00F40D25">
        <w:rPr>
          <w:sz w:val="24"/>
          <w:szCs w:val="24"/>
        </w:rPr>
        <w:t xml:space="preserve"> </w:t>
      </w:r>
      <w:r w:rsidR="00B2037C">
        <w:rPr>
          <w:sz w:val="24"/>
          <w:szCs w:val="24"/>
        </w:rPr>
        <w:t>S</w:t>
      </w:r>
      <w:r>
        <w:rPr>
          <w:sz w:val="24"/>
          <w:szCs w:val="24"/>
        </w:rPr>
        <w:t xml:space="preserve">imona </w:t>
      </w:r>
      <w:proofErr w:type="spellStart"/>
      <w:r w:rsidR="00B2037C">
        <w:rPr>
          <w:sz w:val="24"/>
          <w:szCs w:val="24"/>
        </w:rPr>
        <w:t>Grigalauskaitė</w:t>
      </w:r>
      <w:proofErr w:type="spellEnd"/>
    </w:p>
    <w:p w:rsidR="00FA4DF9" w:rsidRDefault="00FA4DF9" w:rsidP="00FA4DF9">
      <w:pPr>
        <w:jc w:val="both"/>
        <w:rPr>
          <w:sz w:val="24"/>
          <w:szCs w:val="24"/>
        </w:rPr>
      </w:pPr>
      <w:r w:rsidRPr="00F40D25">
        <w:rPr>
          <w:sz w:val="24"/>
          <w:szCs w:val="24"/>
        </w:rPr>
        <w:t>Juridinio ir personalo administravimo skyriaus vedėjas V</w:t>
      </w:r>
      <w:r w:rsidR="003D1FB6">
        <w:rPr>
          <w:sz w:val="24"/>
          <w:szCs w:val="24"/>
        </w:rPr>
        <w:t>ytautas</w:t>
      </w:r>
      <w:r w:rsidRPr="00F40D25">
        <w:rPr>
          <w:sz w:val="24"/>
          <w:szCs w:val="24"/>
        </w:rPr>
        <w:t xml:space="preserve"> Tumas </w:t>
      </w:r>
    </w:p>
    <w:p w:rsidR="005A59E7" w:rsidRDefault="005A59E7" w:rsidP="00FA4DF9">
      <w:pPr>
        <w:jc w:val="both"/>
        <w:rPr>
          <w:sz w:val="24"/>
          <w:szCs w:val="24"/>
        </w:rPr>
      </w:pPr>
    </w:p>
    <w:p w:rsidR="00FA4DF9" w:rsidRPr="00ED5612" w:rsidRDefault="005A59E7" w:rsidP="00FA4DF9">
      <w:pPr>
        <w:jc w:val="both"/>
        <w:rPr>
          <w:sz w:val="24"/>
          <w:szCs w:val="24"/>
        </w:rPr>
      </w:pPr>
      <w:r>
        <w:rPr>
          <w:sz w:val="24"/>
          <w:szCs w:val="24"/>
        </w:rPr>
        <w:t>Sprendimą rengė</w:t>
      </w:r>
      <w:r w:rsidR="00FA4DF9" w:rsidRPr="00F40D25">
        <w:rPr>
          <w:color w:val="FF0000"/>
          <w:sz w:val="24"/>
          <w:szCs w:val="24"/>
        </w:rPr>
        <w:t xml:space="preserve"> </w:t>
      </w:r>
      <w:r w:rsidR="00FA4DF9" w:rsidRPr="00F40D25">
        <w:rPr>
          <w:sz w:val="24"/>
          <w:szCs w:val="24"/>
        </w:rPr>
        <w:t>Finansų ir biudžeto skyriaus vedėjo pavaduotoja M</w:t>
      </w:r>
      <w:r w:rsidR="003D1FB6">
        <w:rPr>
          <w:sz w:val="24"/>
          <w:szCs w:val="24"/>
        </w:rPr>
        <w:t>argarita</w:t>
      </w:r>
      <w:r w:rsidR="00FA4DF9" w:rsidRPr="00F40D25">
        <w:rPr>
          <w:sz w:val="24"/>
          <w:szCs w:val="24"/>
        </w:rPr>
        <w:t xml:space="preserve"> Tamošauskienė</w:t>
      </w:r>
    </w:p>
    <w:p w:rsidR="003D1FB6" w:rsidRDefault="003D1FB6">
      <w:pPr>
        <w:rPr>
          <w:rStyle w:val="Komentaronuoroda"/>
          <w:b/>
          <w:sz w:val="24"/>
          <w:szCs w:val="24"/>
        </w:rPr>
      </w:pPr>
    </w:p>
    <w:p w:rsidR="003D1FB6" w:rsidRDefault="003D1FB6">
      <w:pPr>
        <w:rPr>
          <w:rStyle w:val="Komentaronuoroda"/>
          <w:b/>
          <w:sz w:val="24"/>
          <w:szCs w:val="24"/>
        </w:rPr>
      </w:pPr>
    </w:p>
    <w:p w:rsidR="00B82585" w:rsidRDefault="00B82585">
      <w:pPr>
        <w:rPr>
          <w:rStyle w:val="Komentaronuoroda"/>
          <w:b/>
          <w:sz w:val="24"/>
          <w:szCs w:val="24"/>
        </w:rPr>
      </w:pPr>
    </w:p>
    <w:p w:rsidR="00990536" w:rsidRPr="00B967E9" w:rsidRDefault="00990536" w:rsidP="00FA4DF9">
      <w:pPr>
        <w:jc w:val="center"/>
        <w:rPr>
          <w:rStyle w:val="Komentaronuoroda"/>
          <w:b/>
          <w:sz w:val="24"/>
          <w:szCs w:val="24"/>
        </w:rPr>
      </w:pPr>
      <w:r w:rsidRPr="00B967E9">
        <w:rPr>
          <w:rStyle w:val="Komentaronuoroda"/>
          <w:b/>
          <w:sz w:val="24"/>
          <w:szCs w:val="24"/>
        </w:rPr>
        <w:lastRenderedPageBreak/>
        <w:t>FINANSŲ IR BIUDŽETO SKYRIUS</w:t>
      </w:r>
    </w:p>
    <w:p w:rsidR="00157A53" w:rsidRDefault="00157A53" w:rsidP="00FA4DF9">
      <w:pPr>
        <w:jc w:val="center"/>
        <w:rPr>
          <w:rStyle w:val="Komentaronuoroda"/>
          <w:b/>
          <w:sz w:val="24"/>
          <w:szCs w:val="24"/>
        </w:rPr>
      </w:pPr>
    </w:p>
    <w:p w:rsidR="00990536" w:rsidRPr="00B967E9" w:rsidRDefault="00990536" w:rsidP="00FA4DF9">
      <w:pPr>
        <w:jc w:val="center"/>
        <w:rPr>
          <w:rStyle w:val="Komentaronuoroda"/>
          <w:b/>
          <w:sz w:val="24"/>
          <w:szCs w:val="24"/>
        </w:rPr>
      </w:pPr>
      <w:r w:rsidRPr="00B967E9">
        <w:rPr>
          <w:rStyle w:val="Komentaronuoroda"/>
          <w:b/>
          <w:sz w:val="24"/>
          <w:szCs w:val="24"/>
        </w:rPr>
        <w:t xml:space="preserve">AIŠKINAMASIS RAŠTAS </w:t>
      </w:r>
    </w:p>
    <w:p w:rsidR="00990536" w:rsidRPr="00B967E9" w:rsidRDefault="00990536" w:rsidP="00FA4DF9">
      <w:pPr>
        <w:jc w:val="center"/>
        <w:rPr>
          <w:rStyle w:val="Komentaronuoroda"/>
          <w:b/>
          <w:sz w:val="24"/>
          <w:szCs w:val="24"/>
        </w:rPr>
      </w:pPr>
      <w:r w:rsidRPr="00B967E9">
        <w:rPr>
          <w:rStyle w:val="Komentaronuoroda"/>
          <w:b/>
          <w:sz w:val="24"/>
          <w:szCs w:val="24"/>
        </w:rPr>
        <w:t>PRIE SAVIVALDYBĖS TARYBOS SPRENDIMO PROJEKTO</w:t>
      </w:r>
    </w:p>
    <w:p w:rsidR="00A54E0A" w:rsidRPr="00B967E9" w:rsidRDefault="00990536" w:rsidP="00FA4DF9">
      <w:pPr>
        <w:jc w:val="center"/>
        <w:rPr>
          <w:rStyle w:val="Komentaronuoroda"/>
          <w:b/>
          <w:sz w:val="24"/>
          <w:szCs w:val="24"/>
        </w:rPr>
      </w:pPr>
      <w:r w:rsidRPr="00B967E9">
        <w:rPr>
          <w:rStyle w:val="Komentaronuoroda"/>
          <w:b/>
          <w:sz w:val="24"/>
          <w:szCs w:val="24"/>
        </w:rPr>
        <w:t>„</w:t>
      </w:r>
      <w:r w:rsidR="00BD420E" w:rsidRPr="00B967E9">
        <w:rPr>
          <w:b/>
          <w:sz w:val="24"/>
          <w:szCs w:val="24"/>
        </w:rPr>
        <w:t xml:space="preserve">DĖL </w:t>
      </w:r>
      <w:r w:rsidR="00F71397" w:rsidRPr="00B967E9">
        <w:rPr>
          <w:b/>
          <w:sz w:val="24"/>
          <w:szCs w:val="24"/>
        </w:rPr>
        <w:t>P</w:t>
      </w:r>
      <w:r w:rsidR="00474CAD" w:rsidRPr="00B967E9">
        <w:rPr>
          <w:b/>
          <w:sz w:val="24"/>
          <w:szCs w:val="24"/>
        </w:rPr>
        <w:t xml:space="preserve">LUNGĖS </w:t>
      </w:r>
      <w:r w:rsidR="00C879F5">
        <w:rPr>
          <w:b/>
          <w:sz w:val="24"/>
          <w:szCs w:val="24"/>
        </w:rPr>
        <w:t>RAJONO SAVIVALDYBĖS 2021</w:t>
      </w:r>
      <w:r w:rsidR="00BD420E" w:rsidRPr="00B967E9">
        <w:rPr>
          <w:b/>
          <w:sz w:val="24"/>
          <w:szCs w:val="24"/>
        </w:rPr>
        <w:t xml:space="preserve"> METŲ BIUDŽETO VYKDYMO ATASKAITŲ RINKINIO PATVIRTINIMO</w:t>
      </w:r>
      <w:r w:rsidRPr="00B967E9">
        <w:rPr>
          <w:rStyle w:val="Komentaronuoroda"/>
          <w:b/>
          <w:sz w:val="24"/>
          <w:szCs w:val="24"/>
        </w:rPr>
        <w:t>“</w:t>
      </w:r>
    </w:p>
    <w:p w:rsidR="00157A53" w:rsidRDefault="00157A53" w:rsidP="00FA4DF9">
      <w:pPr>
        <w:jc w:val="center"/>
        <w:rPr>
          <w:rStyle w:val="Komentaronuoroda"/>
          <w:sz w:val="24"/>
          <w:szCs w:val="24"/>
        </w:rPr>
      </w:pPr>
    </w:p>
    <w:p w:rsidR="00BD420E" w:rsidRPr="00B967E9" w:rsidRDefault="00510493" w:rsidP="00FA4DF9">
      <w:pPr>
        <w:jc w:val="center"/>
        <w:rPr>
          <w:rStyle w:val="Komentaronuoroda"/>
          <w:sz w:val="24"/>
          <w:szCs w:val="24"/>
        </w:rPr>
      </w:pPr>
      <w:r>
        <w:rPr>
          <w:rStyle w:val="Komentaronuoroda"/>
          <w:sz w:val="24"/>
          <w:szCs w:val="24"/>
        </w:rPr>
        <w:t xml:space="preserve">2022 </w:t>
      </w:r>
      <w:r w:rsidR="004364D6" w:rsidRPr="00B967E9">
        <w:rPr>
          <w:rStyle w:val="Komentaronuoroda"/>
          <w:sz w:val="24"/>
          <w:szCs w:val="24"/>
        </w:rPr>
        <w:t xml:space="preserve">m. </w:t>
      </w:r>
      <w:r w:rsidR="003D1FB6">
        <w:rPr>
          <w:rStyle w:val="Komentaronuoroda"/>
          <w:sz w:val="24"/>
          <w:szCs w:val="24"/>
        </w:rPr>
        <w:t xml:space="preserve">gegužės 4 </w:t>
      </w:r>
      <w:r w:rsidR="00BD420E" w:rsidRPr="00B967E9">
        <w:rPr>
          <w:rStyle w:val="Komentaronuoroda"/>
          <w:sz w:val="24"/>
          <w:szCs w:val="24"/>
        </w:rPr>
        <w:t>d.</w:t>
      </w:r>
    </w:p>
    <w:p w:rsidR="00BD420E" w:rsidRPr="00B967E9" w:rsidRDefault="00BD420E" w:rsidP="00FA4DF9">
      <w:pPr>
        <w:jc w:val="center"/>
        <w:rPr>
          <w:rStyle w:val="Komentaronuoroda"/>
          <w:sz w:val="24"/>
          <w:szCs w:val="24"/>
        </w:rPr>
      </w:pPr>
      <w:r w:rsidRPr="00B967E9">
        <w:rPr>
          <w:rStyle w:val="Komentaronuoroda"/>
          <w:sz w:val="24"/>
          <w:szCs w:val="24"/>
        </w:rPr>
        <w:t xml:space="preserve">Plungė </w:t>
      </w:r>
    </w:p>
    <w:p w:rsidR="00EC308B" w:rsidRDefault="00EC308B" w:rsidP="00FA4DF9">
      <w:pPr>
        <w:jc w:val="center"/>
        <w:rPr>
          <w:rStyle w:val="Komentaronuoroda"/>
          <w:sz w:val="24"/>
          <w:szCs w:val="24"/>
        </w:rPr>
      </w:pPr>
    </w:p>
    <w:p w:rsidR="00314037" w:rsidRPr="00B2037C" w:rsidRDefault="00CE417A" w:rsidP="00701AA5">
      <w:pPr>
        <w:pStyle w:val="Sraopastraipa"/>
        <w:ind w:left="0" w:firstLine="720"/>
        <w:jc w:val="both"/>
        <w:rPr>
          <w:rStyle w:val="Komentaronuoroda"/>
          <w:b/>
          <w:sz w:val="24"/>
          <w:szCs w:val="24"/>
        </w:rPr>
      </w:pPr>
      <w:r>
        <w:rPr>
          <w:rStyle w:val="Komentaronuoroda"/>
          <w:b/>
          <w:sz w:val="24"/>
          <w:szCs w:val="24"/>
        </w:rPr>
        <w:t xml:space="preserve">1. </w:t>
      </w:r>
      <w:r w:rsidR="00314037" w:rsidRPr="00B2037C">
        <w:rPr>
          <w:rStyle w:val="Komentaronuoroda"/>
          <w:b/>
          <w:sz w:val="24"/>
          <w:szCs w:val="24"/>
        </w:rPr>
        <w:t>Parengto teisės akto projekto tikslai, uždaviniai, problemos esmė.</w:t>
      </w:r>
    </w:p>
    <w:p w:rsidR="00314037" w:rsidRPr="00B2037C" w:rsidRDefault="00314037" w:rsidP="00CE417A">
      <w:pPr>
        <w:ind w:firstLine="720"/>
        <w:jc w:val="both"/>
        <w:rPr>
          <w:rStyle w:val="Komentaronuoroda"/>
          <w:sz w:val="24"/>
          <w:szCs w:val="24"/>
        </w:rPr>
      </w:pPr>
      <w:r w:rsidRPr="00B2037C">
        <w:rPr>
          <w:rStyle w:val="Komentaronuoroda"/>
          <w:sz w:val="24"/>
          <w:szCs w:val="24"/>
        </w:rPr>
        <w:t xml:space="preserve">Parengtu teisės akto projektu pagal dabar galiojančią teisinę bazę Savivaldybės </w:t>
      </w:r>
      <w:r w:rsidR="00AC60EA" w:rsidRPr="00B2037C">
        <w:rPr>
          <w:rStyle w:val="Komentaronuoroda"/>
          <w:sz w:val="24"/>
          <w:szCs w:val="24"/>
        </w:rPr>
        <w:t>t</w:t>
      </w:r>
      <w:r w:rsidRPr="00B2037C">
        <w:rPr>
          <w:rStyle w:val="Komentaronuoroda"/>
          <w:sz w:val="24"/>
          <w:szCs w:val="24"/>
        </w:rPr>
        <w:t xml:space="preserve">arybai teikiama tvirtinti </w:t>
      </w:r>
      <w:r w:rsidR="00A12BED" w:rsidRPr="00B2037C">
        <w:rPr>
          <w:rStyle w:val="Komentaronuoroda"/>
          <w:sz w:val="24"/>
          <w:szCs w:val="24"/>
        </w:rPr>
        <w:t>Plungės rajono savivaldybės 2021</w:t>
      </w:r>
      <w:r w:rsidRPr="00B2037C">
        <w:rPr>
          <w:rStyle w:val="Komentaronuoroda"/>
          <w:sz w:val="24"/>
          <w:szCs w:val="24"/>
        </w:rPr>
        <w:t xml:space="preserve"> metų biudžeto vykdymo ataskaitų rinkinį.  </w:t>
      </w:r>
    </w:p>
    <w:p w:rsidR="00793EEC" w:rsidRPr="00B2037C" w:rsidRDefault="00793EEC" w:rsidP="000326FC">
      <w:pPr>
        <w:ind w:firstLine="720"/>
        <w:jc w:val="both"/>
        <w:rPr>
          <w:sz w:val="24"/>
          <w:szCs w:val="24"/>
        </w:rPr>
      </w:pPr>
      <w:r w:rsidRPr="00B2037C">
        <w:rPr>
          <w:sz w:val="24"/>
          <w:szCs w:val="24"/>
        </w:rPr>
        <w:t xml:space="preserve">Plungės rajono savivaldybės tarybos </w:t>
      </w:r>
      <w:r w:rsidR="003D3896" w:rsidRPr="00B2037C">
        <w:rPr>
          <w:sz w:val="24"/>
          <w:szCs w:val="24"/>
        </w:rPr>
        <w:t>2021</w:t>
      </w:r>
      <w:r w:rsidR="00FA53DC" w:rsidRPr="00B2037C">
        <w:rPr>
          <w:sz w:val="24"/>
          <w:szCs w:val="24"/>
        </w:rPr>
        <w:t xml:space="preserve"> m. vasario </w:t>
      </w:r>
      <w:r w:rsidR="003D3896" w:rsidRPr="00B2037C">
        <w:rPr>
          <w:sz w:val="24"/>
          <w:szCs w:val="24"/>
        </w:rPr>
        <w:t>18</w:t>
      </w:r>
      <w:r w:rsidR="0080723E" w:rsidRPr="00B2037C">
        <w:rPr>
          <w:sz w:val="24"/>
          <w:szCs w:val="24"/>
        </w:rPr>
        <w:t xml:space="preserve"> d. </w:t>
      </w:r>
      <w:r w:rsidRPr="00B2037C">
        <w:rPr>
          <w:sz w:val="24"/>
          <w:szCs w:val="24"/>
        </w:rPr>
        <w:t xml:space="preserve">sprendimu </w:t>
      </w:r>
      <w:r w:rsidR="00FA53DC" w:rsidRPr="00B2037C">
        <w:rPr>
          <w:sz w:val="24"/>
          <w:szCs w:val="24"/>
        </w:rPr>
        <w:t>Nr. T1-</w:t>
      </w:r>
      <w:r w:rsidR="003D3896" w:rsidRPr="00B2037C">
        <w:rPr>
          <w:sz w:val="24"/>
          <w:szCs w:val="24"/>
        </w:rPr>
        <w:t>50</w:t>
      </w:r>
      <w:r w:rsidR="0080723E" w:rsidRPr="00B2037C">
        <w:rPr>
          <w:sz w:val="24"/>
          <w:szCs w:val="24"/>
        </w:rPr>
        <w:t xml:space="preserve"> </w:t>
      </w:r>
      <w:r w:rsidRPr="00B2037C">
        <w:rPr>
          <w:sz w:val="24"/>
          <w:szCs w:val="24"/>
        </w:rPr>
        <w:t xml:space="preserve">patvirtintas Plungės rajono savivaldybės </w:t>
      </w:r>
      <w:r w:rsidR="003D3896" w:rsidRPr="00B2037C">
        <w:rPr>
          <w:sz w:val="24"/>
          <w:szCs w:val="24"/>
        </w:rPr>
        <w:t>2021</w:t>
      </w:r>
      <w:r w:rsidR="00BD420E" w:rsidRPr="00B2037C">
        <w:rPr>
          <w:sz w:val="24"/>
          <w:szCs w:val="24"/>
        </w:rPr>
        <w:t xml:space="preserve"> metų </w:t>
      </w:r>
      <w:r w:rsidRPr="00B2037C">
        <w:rPr>
          <w:sz w:val="24"/>
          <w:szCs w:val="24"/>
        </w:rPr>
        <w:t xml:space="preserve">biudžetas:  </w:t>
      </w:r>
      <w:r w:rsidR="00BD420E" w:rsidRPr="00B2037C">
        <w:rPr>
          <w:sz w:val="24"/>
          <w:szCs w:val="24"/>
        </w:rPr>
        <w:t xml:space="preserve"> </w:t>
      </w:r>
    </w:p>
    <w:p w:rsidR="005C2170" w:rsidRPr="00B2037C" w:rsidRDefault="003D3896">
      <w:pPr>
        <w:tabs>
          <w:tab w:val="left" w:pos="900"/>
          <w:tab w:val="left" w:pos="990"/>
          <w:tab w:val="left" w:pos="1170"/>
        </w:tabs>
        <w:ind w:firstLine="720"/>
        <w:jc w:val="both"/>
        <w:rPr>
          <w:sz w:val="24"/>
          <w:szCs w:val="24"/>
        </w:rPr>
      </w:pPr>
      <w:r w:rsidRPr="00B2037C">
        <w:rPr>
          <w:sz w:val="24"/>
          <w:szCs w:val="24"/>
        </w:rPr>
        <w:t>43</w:t>
      </w:r>
      <w:r w:rsidR="00B617A4" w:rsidRPr="00B2037C">
        <w:rPr>
          <w:sz w:val="24"/>
          <w:szCs w:val="24"/>
        </w:rPr>
        <w:t xml:space="preserve"> </w:t>
      </w:r>
      <w:r w:rsidRPr="00B2037C">
        <w:rPr>
          <w:sz w:val="24"/>
          <w:szCs w:val="24"/>
        </w:rPr>
        <w:t>751,2</w:t>
      </w:r>
      <w:r w:rsidR="005C2170" w:rsidRPr="00B2037C">
        <w:rPr>
          <w:sz w:val="24"/>
          <w:szCs w:val="24"/>
        </w:rPr>
        <w:t xml:space="preserve"> tūkst. eurų pajamų</w:t>
      </w:r>
      <w:r w:rsidR="00D65E66" w:rsidRPr="00B2037C">
        <w:rPr>
          <w:sz w:val="24"/>
          <w:szCs w:val="24"/>
        </w:rPr>
        <w:t xml:space="preserve">, </w:t>
      </w:r>
      <w:r w:rsidR="005C2170" w:rsidRPr="00B2037C">
        <w:rPr>
          <w:sz w:val="24"/>
          <w:szCs w:val="24"/>
        </w:rPr>
        <w:t xml:space="preserve">iš jų – </w:t>
      </w:r>
      <w:r w:rsidR="00FA2064" w:rsidRPr="00B2037C">
        <w:rPr>
          <w:sz w:val="24"/>
          <w:szCs w:val="24"/>
        </w:rPr>
        <w:t>1</w:t>
      </w:r>
      <w:r w:rsidR="00B617A4" w:rsidRPr="00B2037C">
        <w:rPr>
          <w:sz w:val="24"/>
          <w:szCs w:val="24"/>
        </w:rPr>
        <w:t xml:space="preserve"> </w:t>
      </w:r>
      <w:r w:rsidRPr="00B2037C">
        <w:rPr>
          <w:sz w:val="24"/>
          <w:szCs w:val="24"/>
        </w:rPr>
        <w:t>053,5</w:t>
      </w:r>
      <w:r w:rsidR="005C2170" w:rsidRPr="00B2037C">
        <w:rPr>
          <w:sz w:val="24"/>
          <w:szCs w:val="24"/>
        </w:rPr>
        <w:t xml:space="preserve"> tūkst. eurų iš biudžetinių įstaigų pajamų už prekes, teikiamas paslaugas ir turto nuomą į Savivaldybės biudžetą; </w:t>
      </w:r>
    </w:p>
    <w:p w:rsidR="00793EEC" w:rsidRPr="00B2037C" w:rsidRDefault="003D2C73" w:rsidP="00701AA5">
      <w:pPr>
        <w:tabs>
          <w:tab w:val="left" w:pos="0"/>
          <w:tab w:val="left" w:pos="851"/>
          <w:tab w:val="left" w:pos="1560"/>
        </w:tabs>
        <w:ind w:firstLine="720"/>
        <w:jc w:val="both"/>
        <w:rPr>
          <w:sz w:val="24"/>
          <w:szCs w:val="24"/>
        </w:rPr>
      </w:pPr>
      <w:r w:rsidRPr="00B2037C">
        <w:rPr>
          <w:sz w:val="24"/>
          <w:szCs w:val="24"/>
        </w:rPr>
        <w:t>P</w:t>
      </w:r>
      <w:r w:rsidR="00AA32CF" w:rsidRPr="00B2037C">
        <w:rPr>
          <w:sz w:val="24"/>
          <w:szCs w:val="24"/>
        </w:rPr>
        <w:t>lun</w:t>
      </w:r>
      <w:r w:rsidR="00FB00E4" w:rsidRPr="00B2037C">
        <w:rPr>
          <w:sz w:val="24"/>
          <w:szCs w:val="24"/>
        </w:rPr>
        <w:t>g</w:t>
      </w:r>
      <w:r w:rsidR="003D3896" w:rsidRPr="00B2037C">
        <w:rPr>
          <w:sz w:val="24"/>
          <w:szCs w:val="24"/>
        </w:rPr>
        <w:t>ės rajono savivaldybės 2021</w:t>
      </w:r>
      <w:r w:rsidR="00793EEC" w:rsidRPr="00B2037C">
        <w:rPr>
          <w:sz w:val="24"/>
          <w:szCs w:val="24"/>
        </w:rPr>
        <w:t xml:space="preserve"> metų biudžeto asignavim</w:t>
      </w:r>
      <w:r w:rsidR="00345E57" w:rsidRPr="00B2037C">
        <w:rPr>
          <w:sz w:val="24"/>
          <w:szCs w:val="24"/>
        </w:rPr>
        <w:t xml:space="preserve">ų </w:t>
      </w:r>
      <w:r w:rsidR="003D3896" w:rsidRPr="00B2037C">
        <w:rPr>
          <w:sz w:val="24"/>
          <w:szCs w:val="24"/>
        </w:rPr>
        <w:t>47</w:t>
      </w:r>
      <w:r w:rsidR="00345E57" w:rsidRPr="00B2037C">
        <w:rPr>
          <w:sz w:val="24"/>
          <w:szCs w:val="24"/>
        </w:rPr>
        <w:t xml:space="preserve"> </w:t>
      </w:r>
      <w:r w:rsidR="003D3896" w:rsidRPr="00B2037C">
        <w:rPr>
          <w:sz w:val="24"/>
          <w:szCs w:val="24"/>
        </w:rPr>
        <w:t>145,1</w:t>
      </w:r>
      <w:r w:rsidR="00345E57" w:rsidRPr="00B2037C">
        <w:rPr>
          <w:sz w:val="24"/>
          <w:szCs w:val="24"/>
        </w:rPr>
        <w:t xml:space="preserve"> tūkst. eurų</w:t>
      </w:r>
      <w:r w:rsidRPr="00B2037C">
        <w:rPr>
          <w:sz w:val="24"/>
          <w:szCs w:val="24"/>
        </w:rPr>
        <w:t xml:space="preserve"> ir 1</w:t>
      </w:r>
      <w:r w:rsidR="00B617A4" w:rsidRPr="00B2037C">
        <w:rPr>
          <w:sz w:val="24"/>
          <w:szCs w:val="24"/>
        </w:rPr>
        <w:t xml:space="preserve"> </w:t>
      </w:r>
      <w:r w:rsidRPr="00B2037C">
        <w:rPr>
          <w:sz w:val="24"/>
          <w:szCs w:val="24"/>
        </w:rPr>
        <w:t>1</w:t>
      </w:r>
      <w:r w:rsidR="003D3896" w:rsidRPr="00B2037C">
        <w:rPr>
          <w:sz w:val="24"/>
          <w:szCs w:val="24"/>
        </w:rPr>
        <w:t>52,9</w:t>
      </w:r>
      <w:r w:rsidRPr="00B2037C">
        <w:rPr>
          <w:sz w:val="24"/>
          <w:szCs w:val="24"/>
        </w:rPr>
        <w:t xml:space="preserve"> tūkst. eurų – paskoloms grąžinti</w:t>
      </w:r>
      <w:r w:rsidR="00345E57" w:rsidRPr="00B2037C">
        <w:rPr>
          <w:sz w:val="24"/>
          <w:szCs w:val="24"/>
        </w:rPr>
        <w:t xml:space="preserve">; </w:t>
      </w:r>
    </w:p>
    <w:p w:rsidR="00D65E66" w:rsidRPr="00B2037C" w:rsidRDefault="003D3896" w:rsidP="00701AA5">
      <w:pPr>
        <w:tabs>
          <w:tab w:val="left" w:pos="900"/>
          <w:tab w:val="left" w:pos="1260"/>
          <w:tab w:val="left" w:pos="1440"/>
        </w:tabs>
        <w:ind w:firstLine="720"/>
        <w:jc w:val="both"/>
        <w:rPr>
          <w:sz w:val="24"/>
          <w:szCs w:val="24"/>
        </w:rPr>
      </w:pPr>
      <w:r w:rsidRPr="00B2037C">
        <w:rPr>
          <w:sz w:val="24"/>
          <w:szCs w:val="24"/>
        </w:rPr>
        <w:t>Plungės rajono savivaldybės 2021</w:t>
      </w:r>
      <w:r w:rsidR="00D65E66" w:rsidRPr="00B2037C">
        <w:rPr>
          <w:sz w:val="24"/>
          <w:szCs w:val="24"/>
        </w:rPr>
        <w:t xml:space="preserve"> metų skolint</w:t>
      </w:r>
      <w:r w:rsidR="00321CB2" w:rsidRPr="00B2037C">
        <w:rPr>
          <w:sz w:val="24"/>
          <w:szCs w:val="24"/>
        </w:rPr>
        <w:t>ų</w:t>
      </w:r>
      <w:r w:rsidR="00D65E66" w:rsidRPr="00B2037C">
        <w:rPr>
          <w:sz w:val="24"/>
          <w:szCs w:val="24"/>
        </w:rPr>
        <w:t xml:space="preserve"> lėš</w:t>
      </w:r>
      <w:r w:rsidR="00321CB2" w:rsidRPr="00B2037C">
        <w:rPr>
          <w:sz w:val="24"/>
          <w:szCs w:val="24"/>
        </w:rPr>
        <w:t>ų</w:t>
      </w:r>
      <w:r w:rsidR="00D65E66" w:rsidRPr="00B2037C">
        <w:rPr>
          <w:sz w:val="24"/>
          <w:szCs w:val="24"/>
        </w:rPr>
        <w:t xml:space="preserve"> –</w:t>
      </w:r>
      <w:r w:rsidR="006B5E1E" w:rsidRPr="00B2037C">
        <w:rPr>
          <w:sz w:val="24"/>
          <w:szCs w:val="24"/>
        </w:rPr>
        <w:t>1 800,0</w:t>
      </w:r>
      <w:r w:rsidR="00D65E66" w:rsidRPr="00B2037C">
        <w:rPr>
          <w:sz w:val="24"/>
          <w:szCs w:val="24"/>
        </w:rPr>
        <w:t xml:space="preserve"> tūkst. eurų.</w:t>
      </w:r>
    </w:p>
    <w:p w:rsidR="005C2170" w:rsidRPr="00B2037C" w:rsidRDefault="00737791" w:rsidP="00701AA5">
      <w:pPr>
        <w:ind w:firstLine="720"/>
        <w:jc w:val="both"/>
        <w:rPr>
          <w:rStyle w:val="Emfaz"/>
          <w:i w:val="0"/>
          <w:sz w:val="24"/>
          <w:szCs w:val="24"/>
        </w:rPr>
      </w:pPr>
      <w:r w:rsidRPr="00B2037C">
        <w:rPr>
          <w:sz w:val="24"/>
          <w:szCs w:val="24"/>
        </w:rPr>
        <w:t xml:space="preserve">Tuo pačiu sprendimu </w:t>
      </w:r>
      <w:r w:rsidR="00BD420E" w:rsidRPr="00B2037C">
        <w:rPr>
          <w:sz w:val="24"/>
          <w:szCs w:val="24"/>
        </w:rPr>
        <w:t>S</w:t>
      </w:r>
      <w:r w:rsidRPr="00B2037C">
        <w:rPr>
          <w:sz w:val="24"/>
          <w:szCs w:val="24"/>
        </w:rPr>
        <w:t>a</w:t>
      </w:r>
      <w:r w:rsidR="006B5E1E" w:rsidRPr="00B2037C">
        <w:rPr>
          <w:sz w:val="24"/>
          <w:szCs w:val="24"/>
        </w:rPr>
        <w:t>vivaldybės taryba nusprendė 2021</w:t>
      </w:r>
      <w:r w:rsidR="00D65E66" w:rsidRPr="00B2037C">
        <w:rPr>
          <w:sz w:val="24"/>
          <w:szCs w:val="24"/>
        </w:rPr>
        <w:t xml:space="preserve"> metais panaudoti 2</w:t>
      </w:r>
      <w:r w:rsidR="006B5E1E" w:rsidRPr="00B2037C">
        <w:rPr>
          <w:sz w:val="24"/>
          <w:szCs w:val="24"/>
        </w:rPr>
        <w:t>020</w:t>
      </w:r>
      <w:r w:rsidR="005C2170" w:rsidRPr="00B2037C">
        <w:rPr>
          <w:sz w:val="24"/>
          <w:szCs w:val="24"/>
        </w:rPr>
        <w:t xml:space="preserve"> metais nepanaudotų biudžeto lėšų likutį – </w:t>
      </w:r>
      <w:r w:rsidR="006B5E1E" w:rsidRPr="00B2037C">
        <w:rPr>
          <w:sz w:val="24"/>
          <w:szCs w:val="24"/>
        </w:rPr>
        <w:t>2 746,7</w:t>
      </w:r>
      <w:r w:rsidR="007A6DD3" w:rsidRPr="00B2037C">
        <w:rPr>
          <w:sz w:val="24"/>
          <w:szCs w:val="24"/>
        </w:rPr>
        <w:t xml:space="preserve"> </w:t>
      </w:r>
      <w:r w:rsidR="005C2170" w:rsidRPr="00B2037C">
        <w:rPr>
          <w:sz w:val="24"/>
          <w:szCs w:val="24"/>
        </w:rPr>
        <w:t>tūkst. eurų</w:t>
      </w:r>
      <w:r w:rsidR="00321CB2" w:rsidRPr="00B2037C">
        <w:rPr>
          <w:sz w:val="24"/>
          <w:szCs w:val="24"/>
        </w:rPr>
        <w:t>.</w:t>
      </w:r>
    </w:p>
    <w:p w:rsidR="0000414A" w:rsidRPr="00B2037C" w:rsidRDefault="00471606" w:rsidP="00CE417A">
      <w:pPr>
        <w:tabs>
          <w:tab w:val="left" w:pos="709"/>
          <w:tab w:val="left" w:pos="851"/>
          <w:tab w:val="left" w:pos="1134"/>
          <w:tab w:val="left" w:pos="1560"/>
        </w:tabs>
        <w:ind w:firstLine="720"/>
        <w:jc w:val="both"/>
        <w:rPr>
          <w:sz w:val="24"/>
          <w:szCs w:val="24"/>
        </w:rPr>
      </w:pPr>
      <w:r w:rsidRPr="00B2037C">
        <w:rPr>
          <w:sz w:val="24"/>
          <w:szCs w:val="24"/>
          <w:lang w:eastAsia="lt-LT"/>
        </w:rPr>
        <w:t xml:space="preserve">Per 2021 metus biudžeto apimtis, gavus papildomų pajamų ir jas patvirtinus Savivaldybės tarybos sprendimais, padidėjo, ir metų pabaigoje pajamų planas buvo 53 197,5 tūkst. eurų. </w:t>
      </w:r>
      <w:r w:rsidRPr="00B2037C">
        <w:rPr>
          <w:sz w:val="24"/>
          <w:szCs w:val="24"/>
        </w:rPr>
        <w:t>(2020</w:t>
      </w:r>
      <w:r w:rsidR="006163E7" w:rsidRPr="00B2037C">
        <w:rPr>
          <w:sz w:val="24"/>
          <w:szCs w:val="24"/>
        </w:rPr>
        <w:t xml:space="preserve"> m. pabaigoje -</w:t>
      </w:r>
      <w:r w:rsidR="007A6DD3" w:rsidRPr="00B2037C">
        <w:rPr>
          <w:sz w:val="24"/>
          <w:szCs w:val="24"/>
        </w:rPr>
        <w:t xml:space="preserve"> </w:t>
      </w:r>
      <w:r w:rsidRPr="00B2037C">
        <w:rPr>
          <w:sz w:val="24"/>
          <w:szCs w:val="24"/>
        </w:rPr>
        <w:t xml:space="preserve">50 856,0 </w:t>
      </w:r>
      <w:r w:rsidR="007A6DD3" w:rsidRPr="00B2037C">
        <w:rPr>
          <w:sz w:val="24"/>
          <w:szCs w:val="24"/>
        </w:rPr>
        <w:t>tūkst. eurų</w:t>
      </w:r>
      <w:r w:rsidR="006163E7" w:rsidRPr="00B2037C">
        <w:rPr>
          <w:sz w:val="24"/>
          <w:szCs w:val="24"/>
        </w:rPr>
        <w:t>)</w:t>
      </w:r>
      <w:r w:rsidR="007A6DD3" w:rsidRPr="00B2037C">
        <w:rPr>
          <w:sz w:val="24"/>
          <w:szCs w:val="24"/>
        </w:rPr>
        <w:t xml:space="preserve">. Savivaldybės biudžeto pajamų planas per metus </w:t>
      </w:r>
      <w:r w:rsidR="00197598" w:rsidRPr="00B2037C">
        <w:rPr>
          <w:sz w:val="24"/>
          <w:szCs w:val="24"/>
        </w:rPr>
        <w:t xml:space="preserve">iš viso </w:t>
      </w:r>
      <w:r w:rsidR="007A6DD3" w:rsidRPr="00B2037C">
        <w:rPr>
          <w:sz w:val="24"/>
          <w:szCs w:val="24"/>
        </w:rPr>
        <w:t xml:space="preserve">padidintas </w:t>
      </w:r>
      <w:r w:rsidR="006D005A" w:rsidRPr="00B2037C">
        <w:rPr>
          <w:sz w:val="24"/>
          <w:szCs w:val="24"/>
        </w:rPr>
        <w:t xml:space="preserve">9 446,3 </w:t>
      </w:r>
      <w:r w:rsidR="003D63C7" w:rsidRPr="00B2037C">
        <w:rPr>
          <w:sz w:val="24"/>
          <w:szCs w:val="24"/>
        </w:rPr>
        <w:t xml:space="preserve">tūkst. </w:t>
      </w:r>
      <w:r w:rsidR="00A66C43" w:rsidRPr="00B2037C">
        <w:rPr>
          <w:sz w:val="24"/>
          <w:szCs w:val="24"/>
        </w:rPr>
        <w:t>E</w:t>
      </w:r>
      <w:r w:rsidR="003D63C7" w:rsidRPr="00B2037C">
        <w:rPr>
          <w:sz w:val="24"/>
          <w:szCs w:val="24"/>
        </w:rPr>
        <w:t>urų</w:t>
      </w:r>
      <w:r w:rsidR="00A66C43">
        <w:rPr>
          <w:sz w:val="24"/>
          <w:szCs w:val="24"/>
        </w:rPr>
        <w:t>,</w:t>
      </w:r>
      <w:r w:rsidR="003D63C7" w:rsidRPr="00B2037C">
        <w:rPr>
          <w:sz w:val="24"/>
          <w:szCs w:val="24"/>
        </w:rPr>
        <w:t>.</w:t>
      </w:r>
      <w:r w:rsidR="007A6DD3" w:rsidRPr="00B2037C">
        <w:rPr>
          <w:sz w:val="24"/>
          <w:szCs w:val="24"/>
        </w:rPr>
        <w:t xml:space="preserve"> </w:t>
      </w:r>
      <w:r w:rsidR="006D005A" w:rsidRPr="00B2037C">
        <w:rPr>
          <w:sz w:val="24"/>
          <w:szCs w:val="24"/>
        </w:rPr>
        <w:t xml:space="preserve">7 339,2 </w:t>
      </w:r>
      <w:r w:rsidR="007A6DD3" w:rsidRPr="00B2037C">
        <w:rPr>
          <w:sz w:val="24"/>
          <w:szCs w:val="24"/>
        </w:rPr>
        <w:t xml:space="preserve">tūkst. eurų </w:t>
      </w:r>
      <w:r w:rsidR="006163E7" w:rsidRPr="00B2037C">
        <w:rPr>
          <w:sz w:val="24"/>
          <w:szCs w:val="24"/>
        </w:rPr>
        <w:t>padidėjo</w:t>
      </w:r>
      <w:r w:rsidR="007A6DD3" w:rsidRPr="00B2037C">
        <w:rPr>
          <w:sz w:val="24"/>
          <w:szCs w:val="24"/>
        </w:rPr>
        <w:t xml:space="preserve"> </w:t>
      </w:r>
      <w:r w:rsidR="006163E7" w:rsidRPr="00B2037C">
        <w:rPr>
          <w:sz w:val="24"/>
          <w:szCs w:val="24"/>
        </w:rPr>
        <w:t>dotacijos</w:t>
      </w:r>
      <w:r w:rsidR="00A66C43">
        <w:rPr>
          <w:sz w:val="24"/>
          <w:szCs w:val="24"/>
        </w:rPr>
        <w:t>.</w:t>
      </w:r>
    </w:p>
    <w:p w:rsidR="007A6DD3" w:rsidRPr="00B2037C" w:rsidRDefault="00471606" w:rsidP="000326FC">
      <w:pPr>
        <w:tabs>
          <w:tab w:val="left" w:pos="709"/>
          <w:tab w:val="left" w:pos="851"/>
          <w:tab w:val="left" w:pos="1134"/>
          <w:tab w:val="left" w:pos="1560"/>
        </w:tabs>
        <w:ind w:firstLine="720"/>
        <w:jc w:val="both"/>
        <w:rPr>
          <w:sz w:val="24"/>
          <w:szCs w:val="24"/>
        </w:rPr>
      </w:pPr>
      <w:r w:rsidRPr="00B2037C">
        <w:rPr>
          <w:sz w:val="24"/>
          <w:szCs w:val="24"/>
        </w:rPr>
        <w:t>20</w:t>
      </w:r>
      <w:r w:rsidR="00E06AFA" w:rsidRPr="00B2037C">
        <w:rPr>
          <w:sz w:val="24"/>
          <w:szCs w:val="24"/>
        </w:rPr>
        <w:t>20</w:t>
      </w:r>
      <w:r w:rsidR="007A6DD3" w:rsidRPr="00B2037C">
        <w:rPr>
          <w:sz w:val="24"/>
          <w:szCs w:val="24"/>
        </w:rPr>
        <w:t xml:space="preserve"> metais pajamų planas buvo padidintas </w:t>
      </w:r>
      <w:r w:rsidR="006D005A" w:rsidRPr="00B2037C">
        <w:rPr>
          <w:sz w:val="24"/>
          <w:szCs w:val="24"/>
        </w:rPr>
        <w:t xml:space="preserve">7 891,2 </w:t>
      </w:r>
      <w:r w:rsidR="007A6DD3" w:rsidRPr="00B2037C">
        <w:rPr>
          <w:sz w:val="24"/>
          <w:szCs w:val="24"/>
        </w:rPr>
        <w:t xml:space="preserve">tūkst. eurų; iš jų – </w:t>
      </w:r>
      <w:r w:rsidR="006D005A" w:rsidRPr="00B2037C">
        <w:rPr>
          <w:sz w:val="24"/>
          <w:szCs w:val="24"/>
        </w:rPr>
        <w:t xml:space="preserve">8 047,2 </w:t>
      </w:r>
      <w:r w:rsidR="007A6DD3" w:rsidRPr="00B2037C">
        <w:rPr>
          <w:sz w:val="24"/>
          <w:szCs w:val="24"/>
        </w:rPr>
        <w:t xml:space="preserve">tūkst. eurų buvo </w:t>
      </w:r>
      <w:r w:rsidR="006163E7" w:rsidRPr="00B2037C">
        <w:rPr>
          <w:sz w:val="24"/>
          <w:szCs w:val="24"/>
        </w:rPr>
        <w:t xml:space="preserve">papildomai </w:t>
      </w:r>
      <w:r w:rsidR="007A6DD3" w:rsidRPr="00B2037C">
        <w:rPr>
          <w:sz w:val="24"/>
          <w:szCs w:val="24"/>
        </w:rPr>
        <w:t>gauta dotacijų.</w:t>
      </w:r>
    </w:p>
    <w:p w:rsidR="00E06AFA" w:rsidRPr="00B2037C" w:rsidRDefault="00E06AFA">
      <w:pPr>
        <w:ind w:firstLine="720"/>
        <w:jc w:val="both"/>
        <w:rPr>
          <w:sz w:val="24"/>
          <w:szCs w:val="24"/>
          <w:lang w:eastAsia="lt-LT"/>
        </w:rPr>
      </w:pPr>
      <w:r w:rsidRPr="00B2037C">
        <w:rPr>
          <w:sz w:val="24"/>
          <w:szCs w:val="24"/>
        </w:rPr>
        <w:t>2021</w:t>
      </w:r>
      <w:r w:rsidR="00EF40DB" w:rsidRPr="00B2037C">
        <w:rPr>
          <w:sz w:val="24"/>
          <w:szCs w:val="24"/>
        </w:rPr>
        <w:t xml:space="preserve"> metais </w:t>
      </w:r>
      <w:r w:rsidRPr="00B2037C">
        <w:rPr>
          <w:sz w:val="24"/>
          <w:szCs w:val="24"/>
          <w:lang w:eastAsia="lt-LT"/>
        </w:rPr>
        <w:t xml:space="preserve">paimta 4403,4 tūkst. eurų ilgalaikių paskolų, iš jų – 2685,2 tūkst. eurų paskolai grąžinti, siekiant sumažinti palūkanas. </w:t>
      </w:r>
    </w:p>
    <w:p w:rsidR="00E06AFA" w:rsidRPr="00B2037C" w:rsidRDefault="00E06AFA">
      <w:pPr>
        <w:ind w:firstLine="720"/>
        <w:jc w:val="both"/>
        <w:rPr>
          <w:sz w:val="24"/>
          <w:szCs w:val="24"/>
          <w:lang w:eastAsia="lt-LT"/>
        </w:rPr>
      </w:pPr>
      <w:r w:rsidRPr="00B2037C">
        <w:rPr>
          <w:sz w:val="24"/>
          <w:szCs w:val="24"/>
          <w:lang w:eastAsia="lt-LT"/>
        </w:rPr>
        <w:t>2021 metais buvo grąžintos dvi trumpalaikės paskolos, paimtos 2020 metais (793,8 tūkst. eurų buvo grąžinti iš dotacijos, skirtos 2020 metais negautoms pajamoms padengti, 668,2 tūkst. eurų – iš Savivaldybės biudžeto).</w:t>
      </w:r>
    </w:p>
    <w:p w:rsidR="000F450A" w:rsidRPr="00B2037C" w:rsidRDefault="000F450A">
      <w:pPr>
        <w:tabs>
          <w:tab w:val="left" w:pos="709"/>
          <w:tab w:val="left" w:pos="851"/>
          <w:tab w:val="left" w:pos="1134"/>
          <w:tab w:val="left" w:pos="1560"/>
        </w:tabs>
        <w:ind w:firstLine="720"/>
        <w:jc w:val="both"/>
        <w:rPr>
          <w:b/>
          <w:sz w:val="24"/>
          <w:szCs w:val="24"/>
        </w:rPr>
      </w:pPr>
      <w:r w:rsidRPr="00B2037C">
        <w:rPr>
          <w:b/>
          <w:sz w:val="24"/>
          <w:szCs w:val="24"/>
        </w:rPr>
        <w:t>2. Kaip šiuo metu yra sprendžiami projekte aptarti klausimai.</w:t>
      </w:r>
    </w:p>
    <w:p w:rsidR="000F450A" w:rsidRPr="00B2037C" w:rsidRDefault="0000414A" w:rsidP="00701AA5">
      <w:pPr>
        <w:ind w:firstLine="720"/>
        <w:jc w:val="both"/>
        <w:rPr>
          <w:sz w:val="24"/>
          <w:szCs w:val="24"/>
        </w:rPr>
      </w:pPr>
      <w:r w:rsidRPr="00B2037C">
        <w:rPr>
          <w:sz w:val="24"/>
          <w:szCs w:val="24"/>
        </w:rPr>
        <w:t>Plungės rajono savivaldybės 2021</w:t>
      </w:r>
      <w:r w:rsidR="000F450A" w:rsidRPr="00B2037C">
        <w:rPr>
          <w:sz w:val="24"/>
          <w:szCs w:val="24"/>
        </w:rPr>
        <w:t xml:space="preserve"> metų biudžeto vykdymo ataskaitų rinkinys tvirtinamas vieną kartą </w:t>
      </w:r>
      <w:r w:rsidR="00EC308B" w:rsidRPr="00B2037C">
        <w:rPr>
          <w:sz w:val="24"/>
          <w:szCs w:val="24"/>
        </w:rPr>
        <w:t>per metus</w:t>
      </w:r>
      <w:r w:rsidR="000F450A" w:rsidRPr="00B2037C">
        <w:rPr>
          <w:sz w:val="24"/>
          <w:szCs w:val="24"/>
        </w:rPr>
        <w:t>.</w:t>
      </w:r>
    </w:p>
    <w:p w:rsidR="000F450A" w:rsidRPr="00B2037C" w:rsidRDefault="00CE417A" w:rsidP="00701AA5">
      <w:pPr>
        <w:pStyle w:val="Sraopastraipa"/>
        <w:jc w:val="both"/>
        <w:rPr>
          <w:b/>
          <w:sz w:val="24"/>
          <w:szCs w:val="24"/>
        </w:rPr>
      </w:pPr>
      <w:r>
        <w:rPr>
          <w:b/>
          <w:sz w:val="24"/>
          <w:szCs w:val="24"/>
        </w:rPr>
        <w:t xml:space="preserve">3. </w:t>
      </w:r>
      <w:r w:rsidR="000F450A" w:rsidRPr="00B2037C">
        <w:rPr>
          <w:b/>
          <w:sz w:val="24"/>
          <w:szCs w:val="24"/>
        </w:rPr>
        <w:t>Kodėl būtina priimti sprendimą, kokių pozityvių rezultatų laukiama.</w:t>
      </w:r>
    </w:p>
    <w:p w:rsidR="000F450A" w:rsidRPr="00B2037C" w:rsidRDefault="00AC60EA" w:rsidP="00701AA5">
      <w:pPr>
        <w:ind w:firstLine="720"/>
        <w:jc w:val="both"/>
        <w:rPr>
          <w:sz w:val="24"/>
          <w:szCs w:val="24"/>
        </w:rPr>
      </w:pPr>
      <w:r w:rsidRPr="00B2037C">
        <w:rPr>
          <w:sz w:val="24"/>
          <w:szCs w:val="24"/>
        </w:rPr>
        <w:t>P</w:t>
      </w:r>
      <w:r w:rsidR="00F86DF5" w:rsidRPr="00B2037C">
        <w:rPr>
          <w:sz w:val="24"/>
          <w:szCs w:val="24"/>
        </w:rPr>
        <w:t>atvirtintas tarybos sprendimas atitiks šiuo metu galiojančius teisės aktus.</w:t>
      </w:r>
    </w:p>
    <w:p w:rsidR="000F450A" w:rsidRPr="00B2037C" w:rsidRDefault="00CE417A" w:rsidP="00701AA5">
      <w:pPr>
        <w:pStyle w:val="Sraopastraipa"/>
        <w:jc w:val="both"/>
        <w:rPr>
          <w:b/>
          <w:sz w:val="24"/>
          <w:szCs w:val="24"/>
        </w:rPr>
      </w:pPr>
      <w:r>
        <w:rPr>
          <w:b/>
          <w:sz w:val="24"/>
          <w:szCs w:val="24"/>
        </w:rPr>
        <w:t xml:space="preserve">4. </w:t>
      </w:r>
      <w:r w:rsidR="000F450A" w:rsidRPr="00B2037C">
        <w:rPr>
          <w:b/>
          <w:sz w:val="24"/>
          <w:szCs w:val="24"/>
        </w:rPr>
        <w:t>Siūlomos teisinio reguliavimo nuostatos.</w:t>
      </w:r>
    </w:p>
    <w:p w:rsidR="0097123C" w:rsidRPr="00B2037C" w:rsidRDefault="003B4D6B" w:rsidP="00CE417A">
      <w:pPr>
        <w:ind w:firstLine="720"/>
        <w:jc w:val="both"/>
        <w:rPr>
          <w:sz w:val="24"/>
          <w:szCs w:val="24"/>
        </w:rPr>
      </w:pPr>
      <w:r w:rsidRPr="00B2037C">
        <w:rPr>
          <w:sz w:val="24"/>
          <w:szCs w:val="24"/>
        </w:rPr>
        <w:t>Teisės akto projektas parengtas pagal Lietuvos Respublikos biudžeto sandaros įstatymo 36 straipsnio 3 dalies</w:t>
      </w:r>
      <w:r w:rsidR="0097123C" w:rsidRPr="00B2037C">
        <w:rPr>
          <w:sz w:val="24"/>
          <w:szCs w:val="24"/>
        </w:rPr>
        <w:t xml:space="preserve"> nuostatas</w:t>
      </w:r>
      <w:r w:rsidRPr="00B2037C">
        <w:rPr>
          <w:sz w:val="24"/>
          <w:szCs w:val="24"/>
        </w:rPr>
        <w:t>, kur</w:t>
      </w:r>
      <w:r w:rsidR="00AC60EA" w:rsidRPr="00B2037C">
        <w:rPr>
          <w:sz w:val="24"/>
          <w:szCs w:val="24"/>
        </w:rPr>
        <w:t>iose</w:t>
      </w:r>
      <w:r w:rsidRPr="00B2037C">
        <w:rPr>
          <w:sz w:val="24"/>
          <w:szCs w:val="24"/>
        </w:rPr>
        <w:t xml:space="preserve"> teigiama, kad</w:t>
      </w:r>
      <w:r w:rsidR="0097123C" w:rsidRPr="00B2037C">
        <w:rPr>
          <w:sz w:val="24"/>
          <w:szCs w:val="24"/>
        </w:rPr>
        <w:t xml:space="preserve"> „Savivaldybės biudžeto vykdymo ataskaitų rinkinį tvirtina </w:t>
      </w:r>
      <w:r w:rsidR="00A66C43">
        <w:rPr>
          <w:sz w:val="24"/>
          <w:szCs w:val="24"/>
        </w:rPr>
        <w:t>S</w:t>
      </w:r>
      <w:r w:rsidR="0097123C" w:rsidRPr="00B2037C">
        <w:rPr>
          <w:sz w:val="24"/>
          <w:szCs w:val="24"/>
        </w:rPr>
        <w:t>avivaldybės taryba pagal rodiklius, nurodytus šio Įstatymo 26 straipsnio 4 dalyje.</w:t>
      </w:r>
      <w:r w:rsidR="00AC60EA" w:rsidRPr="00B2037C">
        <w:rPr>
          <w:sz w:val="24"/>
          <w:szCs w:val="24"/>
        </w:rPr>
        <w:t>“</w:t>
      </w:r>
    </w:p>
    <w:p w:rsidR="0097123C" w:rsidRPr="00B2037C" w:rsidRDefault="0097123C" w:rsidP="000326FC">
      <w:pPr>
        <w:ind w:firstLine="720"/>
        <w:jc w:val="both"/>
        <w:rPr>
          <w:sz w:val="24"/>
          <w:szCs w:val="24"/>
        </w:rPr>
      </w:pPr>
      <w:r w:rsidRPr="00B2037C">
        <w:rPr>
          <w:sz w:val="24"/>
          <w:szCs w:val="24"/>
        </w:rPr>
        <w:t>26 straipsnio 4 dalyje teigiama, kad „Sprendime nurodoma:</w:t>
      </w:r>
    </w:p>
    <w:p w:rsidR="0097123C" w:rsidRPr="00B2037C" w:rsidRDefault="0097123C">
      <w:pPr>
        <w:ind w:firstLine="720"/>
        <w:jc w:val="both"/>
        <w:rPr>
          <w:sz w:val="24"/>
          <w:szCs w:val="24"/>
        </w:rPr>
      </w:pPr>
      <w:r w:rsidRPr="00B2037C">
        <w:rPr>
          <w:sz w:val="24"/>
          <w:szCs w:val="24"/>
        </w:rPr>
        <w:t>1) bendra pajamų suma ir jų paskirstymas pagal pajamų rūšis;</w:t>
      </w:r>
    </w:p>
    <w:p w:rsidR="00510493" w:rsidRPr="00B2037C" w:rsidRDefault="0097123C">
      <w:pPr>
        <w:ind w:firstLine="720"/>
        <w:jc w:val="both"/>
        <w:rPr>
          <w:sz w:val="24"/>
          <w:szCs w:val="24"/>
        </w:rPr>
      </w:pPr>
      <w:r w:rsidRPr="00B2037C">
        <w:rPr>
          <w:sz w:val="24"/>
          <w:szCs w:val="24"/>
        </w:rPr>
        <w:t>2)</w:t>
      </w:r>
      <w:r w:rsidR="00510493" w:rsidRPr="00B2037C">
        <w:rPr>
          <w:sz w:val="24"/>
          <w:szCs w:val="24"/>
        </w:rPr>
        <w:t xml:space="preserve"> bendra asignavimų, iš jų darbo užmokesčiui, suma ir jų paskirstymas biudžetinėms įstaigoms ar savivaldybių administracijos padaliniams programoms vykdyti.“</w:t>
      </w:r>
    </w:p>
    <w:p w:rsidR="0097123C" w:rsidRPr="00B2037C" w:rsidRDefault="00510493">
      <w:pPr>
        <w:ind w:firstLine="720"/>
        <w:jc w:val="both"/>
        <w:rPr>
          <w:b/>
          <w:sz w:val="24"/>
          <w:szCs w:val="24"/>
        </w:rPr>
      </w:pPr>
      <w:r w:rsidRPr="00B2037C">
        <w:rPr>
          <w:sz w:val="24"/>
          <w:szCs w:val="24"/>
        </w:rPr>
        <w:t>Tvirtinant 2021 metų biudžetą, galiojo Lietuvos Respublikos biudžeto sandaros įstatymo 26 straipsnio 4 dalies nuostata ir buvo teigiama, kad „asignavimai skiriami išlaidoms, iš jų – darbo užmokesčiui, ir turtui įsigyti“, todėl sprendimo projekto prieduose yra nurodyti asignavimai turtui įsigyti</w:t>
      </w:r>
      <w:r w:rsidR="00862EA6" w:rsidRPr="00B2037C">
        <w:rPr>
          <w:sz w:val="24"/>
          <w:szCs w:val="24"/>
        </w:rPr>
        <w:t>, nors tvirtinant 2022 metų biudžetą</w:t>
      </w:r>
      <w:r w:rsidR="00D00A1D">
        <w:rPr>
          <w:sz w:val="24"/>
          <w:szCs w:val="24"/>
        </w:rPr>
        <w:t>,</w:t>
      </w:r>
      <w:r w:rsidR="00862EA6" w:rsidRPr="00B2037C">
        <w:rPr>
          <w:sz w:val="24"/>
          <w:szCs w:val="24"/>
        </w:rPr>
        <w:t xml:space="preserve"> prieduose jau nebuvo nurodyti asignavimai turtui įsigyti.</w:t>
      </w:r>
    </w:p>
    <w:p w:rsidR="000F450A" w:rsidRPr="00B2037C" w:rsidRDefault="0097123C">
      <w:pPr>
        <w:ind w:firstLine="720"/>
        <w:jc w:val="both"/>
        <w:rPr>
          <w:sz w:val="24"/>
          <w:szCs w:val="24"/>
        </w:rPr>
      </w:pPr>
      <w:r w:rsidRPr="00B2037C">
        <w:rPr>
          <w:sz w:val="24"/>
          <w:szCs w:val="24"/>
        </w:rPr>
        <w:t xml:space="preserve">Lietuvos Respublikos vietos savivaldos įstatymo 16 straipsnio 2 dalies 15 punktas teigia, kad „Išimtinė savivaldybės tarybos kompetencija yra savivaldybės biudžeto ir savivaldybės </w:t>
      </w:r>
      <w:r w:rsidRPr="00B2037C">
        <w:rPr>
          <w:sz w:val="24"/>
          <w:szCs w:val="24"/>
        </w:rPr>
        <w:lastRenderedPageBreak/>
        <w:t>konsoliduotųjų ataskaitų rinkinio tvirtinimas Biudžeto sandaros įstatymo ir Viešojo sektoriaus atskaitomybės įstatymo nustatyta tvarka“.</w:t>
      </w:r>
    </w:p>
    <w:p w:rsidR="000F450A" w:rsidRPr="00B2037C" w:rsidRDefault="000F450A" w:rsidP="00701AA5">
      <w:pPr>
        <w:ind w:firstLine="720"/>
        <w:jc w:val="both"/>
        <w:rPr>
          <w:b/>
          <w:sz w:val="24"/>
          <w:szCs w:val="24"/>
        </w:rPr>
      </w:pPr>
      <w:r w:rsidRPr="00B2037C">
        <w:rPr>
          <w:b/>
          <w:sz w:val="24"/>
          <w:szCs w:val="24"/>
        </w:rPr>
        <w:t>5. Pateikti skaičiavimus, išlaidų sąmatas, nurodyti finansavimo šaltinius.</w:t>
      </w:r>
    </w:p>
    <w:p w:rsidR="00FD70C0" w:rsidRPr="00B2037C" w:rsidRDefault="00AC60EA" w:rsidP="00701AA5">
      <w:pPr>
        <w:ind w:firstLine="720"/>
        <w:jc w:val="both"/>
        <w:rPr>
          <w:b/>
          <w:sz w:val="24"/>
          <w:szCs w:val="24"/>
        </w:rPr>
      </w:pPr>
      <w:r w:rsidRPr="00B2037C">
        <w:rPr>
          <w:sz w:val="24"/>
          <w:szCs w:val="24"/>
        </w:rPr>
        <w:t>Ši informacija p</w:t>
      </w:r>
      <w:r w:rsidR="003B4D6B" w:rsidRPr="00B2037C">
        <w:rPr>
          <w:sz w:val="24"/>
          <w:szCs w:val="24"/>
        </w:rPr>
        <w:t>ateik</w:t>
      </w:r>
      <w:r w:rsidRPr="00B2037C">
        <w:rPr>
          <w:sz w:val="24"/>
          <w:szCs w:val="24"/>
        </w:rPr>
        <w:t xml:space="preserve">ta </w:t>
      </w:r>
      <w:r w:rsidR="003B4D6B" w:rsidRPr="00B2037C">
        <w:rPr>
          <w:sz w:val="24"/>
          <w:szCs w:val="24"/>
        </w:rPr>
        <w:t>11</w:t>
      </w:r>
      <w:r w:rsidR="00FD70C0" w:rsidRPr="00B2037C">
        <w:rPr>
          <w:sz w:val="24"/>
          <w:szCs w:val="24"/>
        </w:rPr>
        <w:t xml:space="preserve"> punkte</w:t>
      </w:r>
      <w:r w:rsidR="003B4D6B" w:rsidRPr="00B2037C">
        <w:rPr>
          <w:sz w:val="24"/>
          <w:szCs w:val="24"/>
        </w:rPr>
        <w:t xml:space="preserve"> „Kita svarbi informacija“</w:t>
      </w:r>
      <w:r w:rsidR="00F86DF5" w:rsidRPr="00B2037C">
        <w:rPr>
          <w:sz w:val="24"/>
          <w:szCs w:val="24"/>
        </w:rPr>
        <w:t xml:space="preserve"> bei teisės akto projekto prieduose.</w:t>
      </w:r>
    </w:p>
    <w:p w:rsidR="000F450A" w:rsidRPr="00B2037C" w:rsidRDefault="000F450A" w:rsidP="00701AA5">
      <w:pPr>
        <w:tabs>
          <w:tab w:val="left" w:pos="720"/>
        </w:tabs>
        <w:ind w:firstLine="720"/>
        <w:jc w:val="both"/>
        <w:rPr>
          <w:b/>
          <w:sz w:val="24"/>
          <w:szCs w:val="24"/>
        </w:rPr>
      </w:pPr>
      <w:r w:rsidRPr="00B2037C">
        <w:rPr>
          <w:b/>
          <w:sz w:val="24"/>
          <w:szCs w:val="24"/>
        </w:rPr>
        <w:t>6. Nurodyti, kokius galiojančius aktus reikėtų pakeisti ar pripažinti netekusiais galios, priėmus sprendimą pagal teikiamą projektą.</w:t>
      </w:r>
    </w:p>
    <w:p w:rsidR="000F450A" w:rsidRPr="00B2037C" w:rsidRDefault="003B4D6B" w:rsidP="00701AA5">
      <w:pPr>
        <w:ind w:firstLine="720"/>
        <w:jc w:val="both"/>
        <w:rPr>
          <w:sz w:val="24"/>
          <w:szCs w:val="24"/>
        </w:rPr>
      </w:pPr>
      <w:r w:rsidRPr="00B2037C">
        <w:rPr>
          <w:sz w:val="24"/>
          <w:szCs w:val="24"/>
        </w:rPr>
        <w:t>Nėra</w:t>
      </w:r>
      <w:r w:rsidR="00AC60EA" w:rsidRPr="00B2037C">
        <w:rPr>
          <w:sz w:val="24"/>
          <w:szCs w:val="24"/>
        </w:rPr>
        <w:t>.</w:t>
      </w:r>
    </w:p>
    <w:p w:rsidR="000F450A" w:rsidRPr="00B2037C" w:rsidRDefault="000F450A" w:rsidP="00701AA5">
      <w:pPr>
        <w:ind w:firstLine="720"/>
        <w:jc w:val="both"/>
        <w:rPr>
          <w:b/>
          <w:sz w:val="24"/>
          <w:szCs w:val="24"/>
        </w:rPr>
      </w:pPr>
      <w:r w:rsidRPr="00B2037C">
        <w:rPr>
          <w:b/>
          <w:sz w:val="24"/>
          <w:szCs w:val="24"/>
        </w:rPr>
        <w:t>7. Kokios korupcijos pasireiškimo tikimybės, priėmus šį sprendimą, korupcijos vertinimas.</w:t>
      </w:r>
    </w:p>
    <w:p w:rsidR="00EC308B" w:rsidRPr="00B2037C" w:rsidRDefault="00F86DF5" w:rsidP="00701AA5">
      <w:pPr>
        <w:ind w:firstLine="720"/>
        <w:jc w:val="both"/>
        <w:rPr>
          <w:sz w:val="24"/>
          <w:szCs w:val="24"/>
        </w:rPr>
      </w:pPr>
      <w:r w:rsidRPr="00B2037C">
        <w:rPr>
          <w:sz w:val="24"/>
          <w:szCs w:val="24"/>
        </w:rPr>
        <w:t>Korupcijos pasireiškimo tikimybės, priėmus šį sprendimą, nėra, v</w:t>
      </w:r>
      <w:r w:rsidR="00EC308B" w:rsidRPr="00B2037C">
        <w:rPr>
          <w:sz w:val="24"/>
          <w:szCs w:val="24"/>
        </w:rPr>
        <w:t>ertinimas nėra reikalingas.</w:t>
      </w:r>
      <w:r w:rsidR="003B4D6B" w:rsidRPr="00B2037C">
        <w:rPr>
          <w:sz w:val="24"/>
          <w:szCs w:val="24"/>
        </w:rPr>
        <w:t xml:space="preserve"> </w:t>
      </w:r>
    </w:p>
    <w:p w:rsidR="000F450A" w:rsidRPr="00B2037C" w:rsidRDefault="000F450A" w:rsidP="00701AA5">
      <w:pPr>
        <w:ind w:firstLine="720"/>
        <w:jc w:val="both"/>
        <w:rPr>
          <w:b/>
          <w:sz w:val="24"/>
          <w:szCs w:val="24"/>
        </w:rPr>
      </w:pPr>
      <w:r w:rsidRPr="00B2037C">
        <w:rPr>
          <w:b/>
          <w:sz w:val="24"/>
          <w:szCs w:val="24"/>
        </w:rPr>
        <w:t>8. Nurodyti, kieno iniciatyva sprendimo projektas yra parengtas.</w:t>
      </w:r>
    </w:p>
    <w:p w:rsidR="003B4D6B" w:rsidRPr="00B2037C" w:rsidRDefault="00052B18" w:rsidP="00701AA5">
      <w:pPr>
        <w:ind w:firstLine="720"/>
        <w:jc w:val="both"/>
        <w:rPr>
          <w:sz w:val="24"/>
          <w:szCs w:val="24"/>
        </w:rPr>
      </w:pPr>
      <w:r>
        <w:rPr>
          <w:sz w:val="24"/>
          <w:szCs w:val="24"/>
        </w:rPr>
        <w:t>Pagal</w:t>
      </w:r>
      <w:r w:rsidR="003B4D6B" w:rsidRPr="00B2037C">
        <w:rPr>
          <w:sz w:val="24"/>
          <w:szCs w:val="24"/>
        </w:rPr>
        <w:t xml:space="preserve"> dabar galiojan</w:t>
      </w:r>
      <w:r>
        <w:rPr>
          <w:sz w:val="24"/>
          <w:szCs w:val="24"/>
        </w:rPr>
        <w:t>čius</w:t>
      </w:r>
      <w:r w:rsidR="003B4D6B" w:rsidRPr="00B2037C">
        <w:rPr>
          <w:sz w:val="24"/>
          <w:szCs w:val="24"/>
        </w:rPr>
        <w:t xml:space="preserve"> teisės akt</w:t>
      </w:r>
      <w:r>
        <w:rPr>
          <w:sz w:val="24"/>
          <w:szCs w:val="24"/>
        </w:rPr>
        <w:t>us</w:t>
      </w:r>
      <w:r w:rsidR="003B4D6B" w:rsidRPr="00B2037C">
        <w:rPr>
          <w:sz w:val="24"/>
          <w:szCs w:val="24"/>
        </w:rPr>
        <w:t>.</w:t>
      </w:r>
    </w:p>
    <w:p w:rsidR="000F450A" w:rsidRPr="00B2037C" w:rsidRDefault="000F450A" w:rsidP="00701AA5">
      <w:pPr>
        <w:ind w:firstLine="720"/>
        <w:jc w:val="both"/>
        <w:rPr>
          <w:b/>
          <w:sz w:val="24"/>
          <w:szCs w:val="24"/>
        </w:rPr>
      </w:pPr>
      <w:r w:rsidRPr="00B2037C">
        <w:rPr>
          <w:b/>
          <w:sz w:val="24"/>
          <w:szCs w:val="24"/>
        </w:rPr>
        <w:t>9. Nurodyti, kuri sprendimo projekto ar pridedamos medžiagos dalis (remiantis teisės aktais) yra neskelbtina.</w:t>
      </w:r>
    </w:p>
    <w:p w:rsidR="00FD70C0" w:rsidRPr="00B2037C" w:rsidRDefault="003B4D6B" w:rsidP="00701AA5">
      <w:pPr>
        <w:ind w:firstLine="720"/>
        <w:jc w:val="both"/>
        <w:rPr>
          <w:b/>
          <w:sz w:val="24"/>
          <w:szCs w:val="24"/>
        </w:rPr>
      </w:pPr>
      <w:r w:rsidRPr="00B2037C">
        <w:rPr>
          <w:sz w:val="24"/>
          <w:szCs w:val="24"/>
        </w:rPr>
        <w:t>Nėra</w:t>
      </w:r>
      <w:r w:rsidR="00AC60EA" w:rsidRPr="00B2037C">
        <w:rPr>
          <w:sz w:val="24"/>
          <w:szCs w:val="24"/>
        </w:rPr>
        <w:t>.</w:t>
      </w:r>
    </w:p>
    <w:p w:rsidR="000F450A" w:rsidRPr="00B2037C" w:rsidRDefault="000F450A" w:rsidP="00701AA5">
      <w:pPr>
        <w:ind w:firstLine="720"/>
        <w:jc w:val="both"/>
        <w:rPr>
          <w:b/>
          <w:sz w:val="24"/>
          <w:szCs w:val="24"/>
        </w:rPr>
      </w:pPr>
      <w:r w:rsidRPr="00B2037C">
        <w:rPr>
          <w:b/>
          <w:sz w:val="24"/>
          <w:szCs w:val="24"/>
        </w:rPr>
        <w:t xml:space="preserve">10. Kam (institucijoms, skyriams, organizacijoms ir t. t.) patvirtintas sprendimas turi būti išsiųstas. </w:t>
      </w:r>
    </w:p>
    <w:p w:rsidR="00EC308B" w:rsidRPr="00B2037C" w:rsidRDefault="00EC308B" w:rsidP="00701AA5">
      <w:pPr>
        <w:ind w:firstLine="720"/>
        <w:jc w:val="both"/>
        <w:rPr>
          <w:sz w:val="24"/>
          <w:szCs w:val="24"/>
        </w:rPr>
      </w:pPr>
      <w:r w:rsidRPr="00B2037C">
        <w:rPr>
          <w:sz w:val="24"/>
          <w:szCs w:val="24"/>
        </w:rPr>
        <w:t xml:space="preserve">Sprendimas viešinamas Plungės rajono savivaldybės interneto svetainėje </w:t>
      </w:r>
      <w:proofErr w:type="spellStart"/>
      <w:r w:rsidRPr="00B2037C">
        <w:rPr>
          <w:sz w:val="24"/>
          <w:szCs w:val="24"/>
        </w:rPr>
        <w:t>www.plunge.lt</w:t>
      </w:r>
      <w:proofErr w:type="spellEnd"/>
      <w:r w:rsidRPr="00B2037C">
        <w:rPr>
          <w:sz w:val="24"/>
          <w:szCs w:val="24"/>
        </w:rPr>
        <w:t>.</w:t>
      </w:r>
      <w:r w:rsidR="003B4D6B" w:rsidRPr="00B2037C">
        <w:rPr>
          <w:sz w:val="24"/>
          <w:szCs w:val="24"/>
        </w:rPr>
        <w:t xml:space="preserve">            </w:t>
      </w:r>
    </w:p>
    <w:p w:rsidR="00AB5D51" w:rsidRPr="00EB672F" w:rsidRDefault="000F450A" w:rsidP="00701AA5">
      <w:pPr>
        <w:ind w:firstLine="720"/>
        <w:jc w:val="both"/>
        <w:rPr>
          <w:b/>
          <w:sz w:val="24"/>
          <w:szCs w:val="24"/>
        </w:rPr>
      </w:pPr>
      <w:r w:rsidRPr="00B2037C">
        <w:rPr>
          <w:b/>
          <w:sz w:val="24"/>
          <w:szCs w:val="24"/>
        </w:rPr>
        <w:t>11. Kita svarbi informacija</w:t>
      </w:r>
    </w:p>
    <w:p w:rsidR="00EC308B" w:rsidRPr="00EB672F" w:rsidRDefault="00EC308B" w:rsidP="00157A53">
      <w:pPr>
        <w:tabs>
          <w:tab w:val="left" w:pos="763"/>
        </w:tabs>
        <w:ind w:left="420"/>
        <w:rPr>
          <w:b/>
          <w:sz w:val="28"/>
          <w:szCs w:val="28"/>
        </w:rPr>
      </w:pPr>
      <w:r w:rsidRPr="00EB672F">
        <w:rPr>
          <w:b/>
          <w:sz w:val="28"/>
          <w:szCs w:val="28"/>
        </w:rPr>
        <w:tab/>
      </w:r>
    </w:p>
    <w:p w:rsidR="008B08E0" w:rsidRPr="00B2037C" w:rsidRDefault="008B08E0" w:rsidP="003B2701">
      <w:pPr>
        <w:ind w:left="420"/>
        <w:jc w:val="center"/>
        <w:rPr>
          <w:b/>
          <w:sz w:val="28"/>
          <w:szCs w:val="28"/>
        </w:rPr>
      </w:pPr>
      <w:r w:rsidRPr="00B2037C">
        <w:rPr>
          <w:b/>
          <w:sz w:val="28"/>
          <w:szCs w:val="28"/>
        </w:rPr>
        <w:t>Pajamų plano įvykdymas</w:t>
      </w:r>
    </w:p>
    <w:p w:rsidR="00AB5D51" w:rsidRPr="00B2037C" w:rsidRDefault="00AB5D51" w:rsidP="00B33B28">
      <w:pPr>
        <w:ind w:left="420"/>
        <w:jc w:val="both"/>
        <w:rPr>
          <w:b/>
          <w:sz w:val="28"/>
          <w:szCs w:val="28"/>
        </w:rPr>
      </w:pPr>
    </w:p>
    <w:p w:rsidR="00272201" w:rsidRPr="00B2037C" w:rsidRDefault="004440BB" w:rsidP="00B33B28">
      <w:pPr>
        <w:ind w:firstLine="720"/>
        <w:jc w:val="both"/>
        <w:rPr>
          <w:sz w:val="24"/>
          <w:szCs w:val="24"/>
          <w:lang w:eastAsia="lt-LT"/>
        </w:rPr>
      </w:pPr>
      <w:r w:rsidRPr="00B2037C">
        <w:rPr>
          <w:sz w:val="24"/>
          <w:szCs w:val="24"/>
          <w:lang w:eastAsia="lt-LT"/>
        </w:rPr>
        <w:t>Patikslintas 2021</w:t>
      </w:r>
      <w:r w:rsidR="008B08E0" w:rsidRPr="00B2037C">
        <w:rPr>
          <w:sz w:val="24"/>
          <w:szCs w:val="24"/>
          <w:lang w:eastAsia="lt-LT"/>
        </w:rPr>
        <w:t xml:space="preserve"> m. pajamų planas</w:t>
      </w:r>
      <w:r w:rsidR="00661064" w:rsidRPr="00B2037C">
        <w:rPr>
          <w:sz w:val="24"/>
          <w:szCs w:val="24"/>
          <w:lang w:eastAsia="lt-LT"/>
        </w:rPr>
        <w:t xml:space="preserve"> (</w:t>
      </w:r>
      <w:r w:rsidRPr="00B2037C">
        <w:rPr>
          <w:sz w:val="24"/>
          <w:szCs w:val="24"/>
          <w:lang w:eastAsia="lt-LT"/>
        </w:rPr>
        <w:t>53 197,5</w:t>
      </w:r>
      <w:r w:rsidR="00EF40DB" w:rsidRPr="00B2037C">
        <w:rPr>
          <w:sz w:val="24"/>
          <w:szCs w:val="24"/>
          <w:lang w:eastAsia="lt-LT"/>
        </w:rPr>
        <w:t xml:space="preserve"> tūkst. eurų)</w:t>
      </w:r>
      <w:r w:rsidR="00052B18">
        <w:rPr>
          <w:sz w:val="24"/>
          <w:szCs w:val="24"/>
          <w:lang w:eastAsia="lt-LT"/>
        </w:rPr>
        <w:t>,</w:t>
      </w:r>
      <w:r w:rsidR="00661064" w:rsidRPr="00B2037C">
        <w:rPr>
          <w:sz w:val="24"/>
          <w:szCs w:val="24"/>
          <w:lang w:eastAsia="lt-LT"/>
        </w:rPr>
        <w:t xml:space="preserve"> </w:t>
      </w:r>
      <w:r w:rsidR="008B08E0" w:rsidRPr="00B2037C">
        <w:rPr>
          <w:sz w:val="24"/>
          <w:szCs w:val="24"/>
          <w:lang w:eastAsia="lt-LT"/>
        </w:rPr>
        <w:t xml:space="preserve">įvykdytas </w:t>
      </w:r>
      <w:r w:rsidRPr="00B2037C">
        <w:rPr>
          <w:sz w:val="24"/>
          <w:szCs w:val="24"/>
          <w:lang w:eastAsia="lt-LT"/>
        </w:rPr>
        <w:t>100,3</w:t>
      </w:r>
      <w:r w:rsidR="008B08E0" w:rsidRPr="00B2037C">
        <w:rPr>
          <w:sz w:val="24"/>
          <w:szCs w:val="24"/>
          <w:lang w:eastAsia="lt-LT"/>
        </w:rPr>
        <w:t xml:space="preserve"> procento arba gauta </w:t>
      </w:r>
      <w:r w:rsidR="006D005A" w:rsidRPr="00B2037C">
        <w:rPr>
          <w:sz w:val="24"/>
          <w:szCs w:val="24"/>
          <w:lang w:eastAsia="lt-LT"/>
        </w:rPr>
        <w:t>139,0</w:t>
      </w:r>
      <w:r w:rsidR="008B08E0" w:rsidRPr="00B2037C">
        <w:rPr>
          <w:sz w:val="24"/>
          <w:szCs w:val="24"/>
          <w:lang w:eastAsia="lt-LT"/>
        </w:rPr>
        <w:t xml:space="preserve"> tūkst. </w:t>
      </w:r>
      <w:r w:rsidRPr="00B2037C">
        <w:rPr>
          <w:sz w:val="24"/>
          <w:szCs w:val="24"/>
          <w:lang w:eastAsia="lt-LT"/>
        </w:rPr>
        <w:t>daugiau</w:t>
      </w:r>
      <w:r w:rsidR="008B08E0" w:rsidRPr="00B2037C">
        <w:rPr>
          <w:sz w:val="24"/>
          <w:szCs w:val="24"/>
          <w:lang w:eastAsia="lt-LT"/>
        </w:rPr>
        <w:t xml:space="preserve"> pajamų</w:t>
      </w:r>
      <w:r w:rsidRPr="00B2037C">
        <w:rPr>
          <w:sz w:val="24"/>
          <w:szCs w:val="24"/>
          <w:lang w:eastAsia="lt-LT"/>
        </w:rPr>
        <w:t xml:space="preserve"> nei planuota</w:t>
      </w:r>
      <w:r w:rsidR="008B08E0" w:rsidRPr="00B2037C">
        <w:rPr>
          <w:sz w:val="24"/>
          <w:szCs w:val="24"/>
          <w:lang w:eastAsia="lt-LT"/>
        </w:rPr>
        <w:t xml:space="preserve">. </w:t>
      </w:r>
    </w:p>
    <w:p w:rsidR="00862EA6" w:rsidRPr="00B2037C" w:rsidRDefault="006D005A" w:rsidP="00272201">
      <w:pPr>
        <w:ind w:firstLine="720"/>
        <w:jc w:val="both"/>
        <w:rPr>
          <w:sz w:val="24"/>
          <w:szCs w:val="24"/>
          <w:lang w:eastAsia="lt-LT"/>
        </w:rPr>
      </w:pPr>
      <w:r w:rsidRPr="00B2037C">
        <w:rPr>
          <w:sz w:val="24"/>
          <w:szCs w:val="24"/>
          <w:lang w:eastAsia="lt-LT"/>
        </w:rPr>
        <w:t>Savivaldybės 2021</w:t>
      </w:r>
      <w:r w:rsidR="00272201" w:rsidRPr="00B2037C">
        <w:rPr>
          <w:sz w:val="24"/>
          <w:szCs w:val="24"/>
          <w:lang w:eastAsia="lt-LT"/>
        </w:rPr>
        <w:t xml:space="preserve"> metų biudžeto pajamų plano pagal pajamų rūšis vykdymas p</w:t>
      </w:r>
      <w:r w:rsidR="00D00A1D">
        <w:rPr>
          <w:sz w:val="24"/>
          <w:szCs w:val="24"/>
          <w:lang w:eastAsia="lt-LT"/>
        </w:rPr>
        <w:t>ateiktas</w:t>
      </w:r>
      <w:r w:rsidR="00272201" w:rsidRPr="00B2037C">
        <w:rPr>
          <w:sz w:val="24"/>
          <w:szCs w:val="24"/>
          <w:lang w:eastAsia="lt-LT"/>
        </w:rPr>
        <w:t xml:space="preserve"> 1 lentelėje. </w:t>
      </w:r>
    </w:p>
    <w:p w:rsidR="00862EA6" w:rsidRPr="00B2037C" w:rsidRDefault="00862EA6" w:rsidP="00272201">
      <w:pPr>
        <w:ind w:firstLine="720"/>
        <w:jc w:val="both"/>
        <w:rPr>
          <w:sz w:val="24"/>
          <w:szCs w:val="24"/>
          <w:lang w:eastAsia="lt-LT"/>
        </w:rPr>
      </w:pPr>
    </w:p>
    <w:p w:rsidR="00862EA6" w:rsidRPr="00862EA6" w:rsidRDefault="0012491D" w:rsidP="000205EA">
      <w:pPr>
        <w:jc w:val="center"/>
        <w:rPr>
          <w:b/>
          <w:sz w:val="24"/>
          <w:szCs w:val="24"/>
        </w:rPr>
      </w:pPr>
      <w:r w:rsidRPr="00B2037C">
        <w:rPr>
          <w:b/>
          <w:sz w:val="24"/>
          <w:szCs w:val="24"/>
          <w:lang w:eastAsia="lt-LT"/>
        </w:rPr>
        <w:t>1</w:t>
      </w:r>
      <w:r w:rsidR="006D005A" w:rsidRPr="00B2037C">
        <w:rPr>
          <w:b/>
          <w:sz w:val="24"/>
          <w:szCs w:val="24"/>
          <w:lang w:eastAsia="lt-LT"/>
        </w:rPr>
        <w:t xml:space="preserve"> lentelė. Savivaldybės 2021</w:t>
      </w:r>
      <w:r w:rsidR="00272201" w:rsidRPr="00B2037C">
        <w:rPr>
          <w:b/>
          <w:sz w:val="24"/>
          <w:szCs w:val="24"/>
          <w:lang w:eastAsia="lt-LT"/>
        </w:rPr>
        <w:t xml:space="preserve"> metų biudžeto pajamų plano vykdymas</w:t>
      </w:r>
    </w:p>
    <w:tbl>
      <w:tblPr>
        <w:tblpPr w:leftFromText="180" w:rightFromText="180" w:vertAnchor="text" w:horzAnchor="margin" w:tblpXSpec="center" w:tblpY="923"/>
        <w:tblW w:w="10201" w:type="dxa"/>
        <w:tblLayout w:type="fixed"/>
        <w:tblLook w:val="04A0" w:firstRow="1" w:lastRow="0" w:firstColumn="1" w:lastColumn="0" w:noHBand="0" w:noVBand="1"/>
      </w:tblPr>
      <w:tblGrid>
        <w:gridCol w:w="534"/>
        <w:gridCol w:w="2863"/>
        <w:gridCol w:w="1247"/>
        <w:gridCol w:w="1163"/>
        <w:gridCol w:w="1134"/>
        <w:gridCol w:w="992"/>
        <w:gridCol w:w="1134"/>
        <w:gridCol w:w="1134"/>
      </w:tblGrid>
      <w:tr w:rsidR="00862EA6" w:rsidRPr="00595928" w:rsidTr="000205EA">
        <w:trPr>
          <w:trHeight w:val="911"/>
        </w:trPr>
        <w:tc>
          <w:tcPr>
            <w:tcW w:w="534" w:type="dxa"/>
            <w:tcBorders>
              <w:top w:val="single" w:sz="4" w:space="0" w:color="auto"/>
              <w:left w:val="single" w:sz="4" w:space="0" w:color="auto"/>
              <w:bottom w:val="nil"/>
              <w:right w:val="single" w:sz="4" w:space="0" w:color="auto"/>
            </w:tcBorders>
            <w:shd w:val="clear" w:color="000000" w:fill="FFFFFF"/>
            <w:vAlign w:val="bottom"/>
            <w:hideMark/>
          </w:tcPr>
          <w:p w:rsidR="00862EA6" w:rsidRPr="00595928" w:rsidRDefault="00862EA6" w:rsidP="000205EA">
            <w:pPr>
              <w:jc w:val="center"/>
              <w:rPr>
                <w:sz w:val="22"/>
                <w:szCs w:val="22"/>
                <w:lang w:eastAsia="lt-LT"/>
              </w:rPr>
            </w:pPr>
            <w:r w:rsidRPr="00595928">
              <w:rPr>
                <w:sz w:val="22"/>
                <w:szCs w:val="22"/>
                <w:lang w:eastAsia="lt-LT"/>
              </w:rPr>
              <w:t>Eil.</w:t>
            </w:r>
            <w:r w:rsidR="00D00A1D">
              <w:rPr>
                <w:sz w:val="22"/>
                <w:szCs w:val="22"/>
                <w:lang w:eastAsia="lt-LT"/>
              </w:rPr>
              <w:t xml:space="preserve"> </w:t>
            </w:r>
            <w:r w:rsidRPr="00595928">
              <w:rPr>
                <w:sz w:val="22"/>
                <w:szCs w:val="22"/>
                <w:lang w:eastAsia="lt-LT"/>
              </w:rPr>
              <w:t>Nr</w:t>
            </w:r>
            <w:r w:rsidR="00D00A1D">
              <w:rPr>
                <w:sz w:val="22"/>
                <w:szCs w:val="22"/>
                <w:lang w:eastAsia="lt-LT"/>
              </w:rPr>
              <w:t>.</w:t>
            </w:r>
          </w:p>
        </w:tc>
        <w:tc>
          <w:tcPr>
            <w:tcW w:w="2863" w:type="dxa"/>
            <w:tcBorders>
              <w:top w:val="single" w:sz="4" w:space="0" w:color="auto"/>
              <w:left w:val="nil"/>
              <w:bottom w:val="nil"/>
              <w:right w:val="single" w:sz="4" w:space="0" w:color="auto"/>
            </w:tcBorders>
            <w:shd w:val="clear" w:color="000000" w:fill="FFFFFF"/>
            <w:noWrap/>
            <w:vAlign w:val="center"/>
            <w:hideMark/>
          </w:tcPr>
          <w:p w:rsidR="00862EA6" w:rsidRPr="00595928" w:rsidRDefault="00862EA6" w:rsidP="000205EA">
            <w:pPr>
              <w:jc w:val="center"/>
              <w:rPr>
                <w:sz w:val="22"/>
                <w:szCs w:val="22"/>
                <w:lang w:eastAsia="lt-LT"/>
              </w:rPr>
            </w:pPr>
            <w:r w:rsidRPr="00595928">
              <w:rPr>
                <w:sz w:val="22"/>
                <w:szCs w:val="22"/>
                <w:lang w:eastAsia="lt-LT"/>
              </w:rPr>
              <w:t>Pajamų pavadinimas</w:t>
            </w:r>
          </w:p>
        </w:tc>
        <w:tc>
          <w:tcPr>
            <w:tcW w:w="1247" w:type="dxa"/>
            <w:tcBorders>
              <w:top w:val="single" w:sz="4" w:space="0" w:color="auto"/>
              <w:left w:val="nil"/>
              <w:bottom w:val="single" w:sz="4" w:space="0" w:color="auto"/>
              <w:right w:val="single" w:sz="4" w:space="0" w:color="auto"/>
            </w:tcBorders>
            <w:shd w:val="clear" w:color="000000" w:fill="FFFFFF"/>
            <w:hideMark/>
          </w:tcPr>
          <w:p w:rsidR="00862EA6" w:rsidRPr="00A879A6" w:rsidRDefault="00862EA6" w:rsidP="000205EA">
            <w:r w:rsidRPr="00A879A6">
              <w:t>2021 m. biudžeto planas vasario 18 d.</w:t>
            </w:r>
          </w:p>
        </w:tc>
        <w:tc>
          <w:tcPr>
            <w:tcW w:w="1163" w:type="dxa"/>
            <w:tcBorders>
              <w:top w:val="single" w:sz="4" w:space="0" w:color="auto"/>
              <w:left w:val="nil"/>
              <w:bottom w:val="single" w:sz="4" w:space="0" w:color="auto"/>
              <w:right w:val="single" w:sz="4" w:space="0" w:color="auto"/>
            </w:tcBorders>
            <w:shd w:val="clear" w:color="000000" w:fill="FFFFFF"/>
            <w:hideMark/>
          </w:tcPr>
          <w:p w:rsidR="00862EA6" w:rsidRPr="00A879A6" w:rsidRDefault="00862EA6" w:rsidP="000205EA">
            <w:r w:rsidRPr="00A879A6">
              <w:t>2021 metų pakeitimai</w:t>
            </w:r>
          </w:p>
        </w:tc>
        <w:tc>
          <w:tcPr>
            <w:tcW w:w="1134" w:type="dxa"/>
            <w:tcBorders>
              <w:top w:val="single" w:sz="4" w:space="0" w:color="auto"/>
              <w:left w:val="nil"/>
              <w:bottom w:val="single" w:sz="4" w:space="0" w:color="auto"/>
              <w:right w:val="single" w:sz="4" w:space="0" w:color="auto"/>
            </w:tcBorders>
            <w:shd w:val="clear" w:color="000000" w:fill="FFFFFF"/>
            <w:hideMark/>
          </w:tcPr>
          <w:p w:rsidR="00862EA6" w:rsidRPr="00A879A6" w:rsidRDefault="00862EA6" w:rsidP="000205EA">
            <w:r w:rsidRPr="00A879A6">
              <w:t>2021 m. patikslintas planas</w:t>
            </w:r>
          </w:p>
        </w:tc>
        <w:tc>
          <w:tcPr>
            <w:tcW w:w="992" w:type="dxa"/>
            <w:tcBorders>
              <w:top w:val="single" w:sz="4" w:space="0" w:color="auto"/>
              <w:left w:val="nil"/>
              <w:bottom w:val="single" w:sz="4" w:space="0" w:color="auto"/>
              <w:right w:val="single" w:sz="4" w:space="0" w:color="auto"/>
            </w:tcBorders>
            <w:shd w:val="clear" w:color="000000" w:fill="FFFFFF"/>
            <w:hideMark/>
          </w:tcPr>
          <w:p w:rsidR="00862EA6" w:rsidRPr="00A879A6" w:rsidRDefault="00862EA6" w:rsidP="000205EA">
            <w:r w:rsidRPr="00A879A6">
              <w:t>2021 m. gauta lėšų</w:t>
            </w:r>
          </w:p>
        </w:tc>
        <w:tc>
          <w:tcPr>
            <w:tcW w:w="1134" w:type="dxa"/>
            <w:tcBorders>
              <w:top w:val="single" w:sz="4" w:space="0" w:color="auto"/>
              <w:left w:val="nil"/>
              <w:bottom w:val="single" w:sz="4" w:space="0" w:color="auto"/>
              <w:right w:val="single" w:sz="4" w:space="0" w:color="auto"/>
            </w:tcBorders>
            <w:shd w:val="clear" w:color="000000" w:fill="FFFFFF"/>
            <w:hideMark/>
          </w:tcPr>
          <w:p w:rsidR="00862EA6" w:rsidRPr="00A879A6" w:rsidRDefault="00862EA6" w:rsidP="000205EA">
            <w:r w:rsidRPr="00A879A6">
              <w:t>Patikslinto plano įvykdymas</w:t>
            </w:r>
          </w:p>
        </w:tc>
        <w:tc>
          <w:tcPr>
            <w:tcW w:w="1134" w:type="dxa"/>
            <w:tcBorders>
              <w:top w:val="single" w:sz="4" w:space="0" w:color="auto"/>
              <w:left w:val="nil"/>
              <w:bottom w:val="single" w:sz="4" w:space="0" w:color="auto"/>
              <w:right w:val="single" w:sz="4" w:space="0" w:color="auto"/>
            </w:tcBorders>
            <w:shd w:val="clear" w:color="000000" w:fill="FFFFFF"/>
            <w:hideMark/>
          </w:tcPr>
          <w:p w:rsidR="00862EA6" w:rsidRDefault="00862EA6" w:rsidP="000205EA">
            <w:r w:rsidRPr="00A879A6">
              <w:t>Patikslinto plano įvykdymas</w:t>
            </w:r>
          </w:p>
        </w:tc>
      </w:tr>
      <w:tr w:rsidR="00862EA6" w:rsidRPr="00595928" w:rsidTr="000205EA">
        <w:trPr>
          <w:trHeight w:val="130"/>
        </w:trPr>
        <w:tc>
          <w:tcPr>
            <w:tcW w:w="534" w:type="dxa"/>
            <w:tcBorders>
              <w:top w:val="nil"/>
              <w:left w:val="single" w:sz="4" w:space="0" w:color="auto"/>
              <w:bottom w:val="single" w:sz="4" w:space="0" w:color="auto"/>
              <w:right w:val="single" w:sz="4" w:space="0" w:color="auto"/>
            </w:tcBorders>
            <w:shd w:val="clear" w:color="000000" w:fill="FFFFFF"/>
            <w:vAlign w:val="bottom"/>
            <w:hideMark/>
          </w:tcPr>
          <w:p w:rsidR="00862EA6" w:rsidRPr="00595928" w:rsidRDefault="00862EA6" w:rsidP="000205EA">
            <w:pPr>
              <w:jc w:val="center"/>
              <w:rPr>
                <w:sz w:val="22"/>
                <w:szCs w:val="22"/>
                <w:lang w:eastAsia="lt-LT"/>
              </w:rPr>
            </w:pPr>
            <w:r w:rsidRPr="00595928">
              <w:rPr>
                <w:sz w:val="22"/>
                <w:szCs w:val="22"/>
                <w:lang w:eastAsia="lt-LT"/>
              </w:rPr>
              <w:t> </w:t>
            </w:r>
          </w:p>
        </w:tc>
        <w:tc>
          <w:tcPr>
            <w:tcW w:w="2863" w:type="dxa"/>
            <w:tcBorders>
              <w:top w:val="nil"/>
              <w:left w:val="nil"/>
              <w:bottom w:val="single" w:sz="4" w:space="0" w:color="auto"/>
              <w:right w:val="single" w:sz="4" w:space="0" w:color="auto"/>
            </w:tcBorders>
            <w:shd w:val="clear" w:color="000000" w:fill="FFFFFF"/>
            <w:noWrap/>
            <w:vAlign w:val="center"/>
            <w:hideMark/>
          </w:tcPr>
          <w:p w:rsidR="00862EA6" w:rsidRPr="00595928" w:rsidRDefault="00862EA6" w:rsidP="000205EA">
            <w:pPr>
              <w:jc w:val="center"/>
              <w:rPr>
                <w:sz w:val="22"/>
                <w:szCs w:val="22"/>
                <w:lang w:eastAsia="lt-LT"/>
              </w:rPr>
            </w:pPr>
            <w:r w:rsidRPr="00595928">
              <w:rPr>
                <w:sz w:val="22"/>
                <w:szCs w:val="22"/>
                <w:lang w:eastAsia="lt-LT"/>
              </w:rPr>
              <w:t> </w:t>
            </w:r>
          </w:p>
        </w:tc>
        <w:tc>
          <w:tcPr>
            <w:tcW w:w="1247" w:type="dxa"/>
            <w:tcBorders>
              <w:top w:val="single" w:sz="4" w:space="0" w:color="auto"/>
              <w:left w:val="single" w:sz="4" w:space="0" w:color="auto"/>
              <w:bottom w:val="single" w:sz="4" w:space="0" w:color="auto"/>
            </w:tcBorders>
            <w:shd w:val="clear" w:color="000000" w:fill="FFFFFF"/>
            <w:vAlign w:val="bottom"/>
            <w:hideMark/>
          </w:tcPr>
          <w:p w:rsidR="00862EA6" w:rsidRPr="00595928" w:rsidRDefault="00862EA6" w:rsidP="000205EA">
            <w:pPr>
              <w:jc w:val="both"/>
              <w:rPr>
                <w:sz w:val="22"/>
                <w:szCs w:val="22"/>
                <w:lang w:eastAsia="lt-LT"/>
              </w:rPr>
            </w:pPr>
          </w:p>
        </w:tc>
        <w:tc>
          <w:tcPr>
            <w:tcW w:w="1163" w:type="dxa"/>
            <w:tcBorders>
              <w:top w:val="single" w:sz="4" w:space="0" w:color="auto"/>
              <w:bottom w:val="single" w:sz="4" w:space="0" w:color="auto"/>
            </w:tcBorders>
            <w:shd w:val="clear" w:color="000000" w:fill="FFFFFF"/>
            <w:vAlign w:val="bottom"/>
            <w:hideMark/>
          </w:tcPr>
          <w:p w:rsidR="00862EA6" w:rsidRPr="00595928" w:rsidRDefault="00862EA6" w:rsidP="000205EA">
            <w:pPr>
              <w:jc w:val="center"/>
              <w:rPr>
                <w:sz w:val="22"/>
                <w:szCs w:val="22"/>
                <w:lang w:eastAsia="lt-LT"/>
              </w:rPr>
            </w:pPr>
            <w:r w:rsidRPr="00595928">
              <w:rPr>
                <w:sz w:val="22"/>
                <w:szCs w:val="22"/>
                <w:lang w:eastAsia="lt-LT"/>
              </w:rPr>
              <w:t> </w:t>
            </w:r>
          </w:p>
        </w:tc>
        <w:tc>
          <w:tcPr>
            <w:tcW w:w="1134" w:type="dxa"/>
            <w:tcBorders>
              <w:top w:val="single" w:sz="4" w:space="0" w:color="auto"/>
              <w:bottom w:val="single" w:sz="4" w:space="0" w:color="auto"/>
            </w:tcBorders>
            <w:shd w:val="clear" w:color="000000" w:fill="FFFFFF"/>
            <w:vAlign w:val="bottom"/>
            <w:hideMark/>
          </w:tcPr>
          <w:p w:rsidR="00862EA6" w:rsidRPr="00595928" w:rsidRDefault="00862EA6" w:rsidP="000205EA">
            <w:pPr>
              <w:jc w:val="right"/>
              <w:rPr>
                <w:sz w:val="22"/>
                <w:szCs w:val="22"/>
                <w:lang w:eastAsia="lt-LT"/>
              </w:rPr>
            </w:pPr>
            <w:r w:rsidRPr="00595928">
              <w:rPr>
                <w:sz w:val="22"/>
                <w:szCs w:val="22"/>
                <w:lang w:eastAsia="lt-LT"/>
              </w:rPr>
              <w:t>tūkst.</w:t>
            </w:r>
            <w:r>
              <w:rPr>
                <w:sz w:val="22"/>
                <w:szCs w:val="22"/>
                <w:lang w:eastAsia="lt-LT"/>
              </w:rPr>
              <w:t xml:space="preserve"> </w:t>
            </w:r>
          </w:p>
        </w:tc>
        <w:tc>
          <w:tcPr>
            <w:tcW w:w="992" w:type="dxa"/>
            <w:tcBorders>
              <w:top w:val="single" w:sz="4" w:space="0" w:color="auto"/>
              <w:bottom w:val="single" w:sz="4" w:space="0" w:color="auto"/>
            </w:tcBorders>
            <w:shd w:val="clear" w:color="000000" w:fill="FFFFFF"/>
            <w:vAlign w:val="bottom"/>
            <w:hideMark/>
          </w:tcPr>
          <w:p w:rsidR="00862EA6" w:rsidRPr="00595928" w:rsidRDefault="00862EA6" w:rsidP="000205EA">
            <w:pPr>
              <w:rPr>
                <w:sz w:val="22"/>
                <w:szCs w:val="22"/>
                <w:lang w:eastAsia="lt-LT"/>
              </w:rPr>
            </w:pPr>
            <w:r>
              <w:rPr>
                <w:sz w:val="22"/>
                <w:szCs w:val="22"/>
                <w:lang w:eastAsia="lt-LT"/>
              </w:rPr>
              <w:t>eurų</w:t>
            </w:r>
            <w:r w:rsidRPr="00595928">
              <w:rPr>
                <w:sz w:val="22"/>
                <w:szCs w:val="22"/>
                <w:lang w:eastAsia="lt-LT"/>
              </w:rPr>
              <w:t> </w:t>
            </w:r>
          </w:p>
        </w:tc>
        <w:tc>
          <w:tcPr>
            <w:tcW w:w="1134" w:type="dxa"/>
            <w:tcBorders>
              <w:top w:val="single" w:sz="4" w:space="0" w:color="auto"/>
              <w:bottom w:val="single" w:sz="4" w:space="0" w:color="auto"/>
              <w:right w:val="single" w:sz="4" w:space="0" w:color="auto"/>
            </w:tcBorders>
            <w:shd w:val="clear" w:color="000000" w:fill="FFFFFF"/>
            <w:vAlign w:val="bottom"/>
            <w:hideMark/>
          </w:tcPr>
          <w:p w:rsidR="00862EA6" w:rsidRPr="00595928" w:rsidRDefault="00862EA6" w:rsidP="000205EA">
            <w:pPr>
              <w:jc w:val="center"/>
              <w:rPr>
                <w:sz w:val="22"/>
                <w:szCs w:val="22"/>
                <w:lang w:eastAsia="lt-LT"/>
              </w:rPr>
            </w:pPr>
            <w:r w:rsidRPr="00595928">
              <w:rPr>
                <w:sz w:val="22"/>
                <w:szCs w:val="22"/>
                <w:lang w:eastAsia="lt-LT"/>
              </w:rPr>
              <w:t> </w:t>
            </w:r>
          </w:p>
        </w:tc>
        <w:tc>
          <w:tcPr>
            <w:tcW w:w="1134" w:type="dxa"/>
            <w:tcBorders>
              <w:top w:val="nil"/>
              <w:left w:val="single" w:sz="4" w:space="0" w:color="auto"/>
              <w:bottom w:val="single" w:sz="4" w:space="0" w:color="auto"/>
              <w:right w:val="single" w:sz="4" w:space="0" w:color="auto"/>
            </w:tcBorders>
            <w:shd w:val="clear" w:color="000000" w:fill="FFFFFF"/>
            <w:noWrap/>
            <w:vAlign w:val="bottom"/>
            <w:hideMark/>
          </w:tcPr>
          <w:p w:rsidR="00862EA6" w:rsidRPr="00595928" w:rsidRDefault="00862EA6" w:rsidP="000205EA">
            <w:pPr>
              <w:jc w:val="center"/>
              <w:rPr>
                <w:sz w:val="22"/>
                <w:szCs w:val="22"/>
                <w:lang w:eastAsia="lt-LT"/>
              </w:rPr>
            </w:pPr>
            <w:r w:rsidRPr="00595928">
              <w:rPr>
                <w:sz w:val="22"/>
                <w:szCs w:val="22"/>
                <w:lang w:eastAsia="lt-LT"/>
              </w:rPr>
              <w:t>proc.</w:t>
            </w:r>
          </w:p>
        </w:tc>
      </w:tr>
      <w:tr w:rsidR="00862EA6" w:rsidRPr="00595928" w:rsidTr="000205EA">
        <w:trPr>
          <w:trHeight w:val="157"/>
        </w:trPr>
        <w:tc>
          <w:tcPr>
            <w:tcW w:w="534" w:type="dxa"/>
            <w:tcBorders>
              <w:top w:val="nil"/>
              <w:left w:val="single" w:sz="4" w:space="0" w:color="auto"/>
              <w:bottom w:val="single" w:sz="4" w:space="0" w:color="auto"/>
              <w:right w:val="single" w:sz="4" w:space="0" w:color="auto"/>
            </w:tcBorders>
            <w:shd w:val="clear" w:color="000000" w:fill="FFFFFF"/>
            <w:vAlign w:val="bottom"/>
            <w:hideMark/>
          </w:tcPr>
          <w:p w:rsidR="00862EA6" w:rsidRPr="00595928" w:rsidRDefault="00862EA6" w:rsidP="000205EA">
            <w:pPr>
              <w:jc w:val="center"/>
              <w:rPr>
                <w:sz w:val="22"/>
                <w:szCs w:val="22"/>
                <w:lang w:eastAsia="lt-LT"/>
              </w:rPr>
            </w:pPr>
            <w:r w:rsidRPr="00595928">
              <w:rPr>
                <w:sz w:val="22"/>
                <w:szCs w:val="22"/>
                <w:lang w:eastAsia="lt-LT"/>
              </w:rPr>
              <w:t>1</w:t>
            </w:r>
          </w:p>
        </w:tc>
        <w:tc>
          <w:tcPr>
            <w:tcW w:w="2863" w:type="dxa"/>
            <w:tcBorders>
              <w:top w:val="nil"/>
              <w:left w:val="nil"/>
              <w:bottom w:val="single" w:sz="4" w:space="0" w:color="auto"/>
              <w:right w:val="single" w:sz="4" w:space="0" w:color="auto"/>
            </w:tcBorders>
            <w:shd w:val="clear" w:color="000000" w:fill="FFFFFF"/>
            <w:noWrap/>
            <w:vAlign w:val="center"/>
            <w:hideMark/>
          </w:tcPr>
          <w:p w:rsidR="00862EA6" w:rsidRPr="00595928" w:rsidRDefault="00862EA6" w:rsidP="000205EA">
            <w:pPr>
              <w:jc w:val="center"/>
              <w:rPr>
                <w:sz w:val="22"/>
                <w:szCs w:val="22"/>
                <w:lang w:eastAsia="lt-LT"/>
              </w:rPr>
            </w:pPr>
            <w:r w:rsidRPr="00595928">
              <w:rPr>
                <w:sz w:val="22"/>
                <w:szCs w:val="22"/>
                <w:lang w:eastAsia="lt-LT"/>
              </w:rPr>
              <w:t>2</w:t>
            </w:r>
          </w:p>
        </w:tc>
        <w:tc>
          <w:tcPr>
            <w:tcW w:w="1247" w:type="dxa"/>
            <w:tcBorders>
              <w:top w:val="single" w:sz="4" w:space="0" w:color="auto"/>
              <w:left w:val="nil"/>
              <w:bottom w:val="single" w:sz="4" w:space="0" w:color="auto"/>
              <w:right w:val="single" w:sz="4" w:space="0" w:color="auto"/>
            </w:tcBorders>
            <w:shd w:val="clear" w:color="000000" w:fill="FFFFFF"/>
            <w:vAlign w:val="bottom"/>
            <w:hideMark/>
          </w:tcPr>
          <w:p w:rsidR="00862EA6" w:rsidRPr="00595928" w:rsidRDefault="00862EA6" w:rsidP="000205EA">
            <w:pPr>
              <w:jc w:val="center"/>
              <w:rPr>
                <w:sz w:val="22"/>
                <w:szCs w:val="22"/>
                <w:lang w:eastAsia="lt-LT"/>
              </w:rPr>
            </w:pPr>
            <w:r w:rsidRPr="00595928">
              <w:rPr>
                <w:sz w:val="22"/>
                <w:szCs w:val="22"/>
                <w:lang w:eastAsia="lt-LT"/>
              </w:rPr>
              <w:t>3</w:t>
            </w:r>
          </w:p>
        </w:tc>
        <w:tc>
          <w:tcPr>
            <w:tcW w:w="1163" w:type="dxa"/>
            <w:tcBorders>
              <w:top w:val="single" w:sz="4" w:space="0" w:color="auto"/>
              <w:left w:val="nil"/>
              <w:bottom w:val="single" w:sz="4" w:space="0" w:color="auto"/>
              <w:right w:val="single" w:sz="4" w:space="0" w:color="auto"/>
            </w:tcBorders>
            <w:shd w:val="clear" w:color="000000" w:fill="FFFFFF"/>
            <w:vAlign w:val="bottom"/>
            <w:hideMark/>
          </w:tcPr>
          <w:p w:rsidR="00862EA6" w:rsidRPr="00595928" w:rsidRDefault="00862EA6" w:rsidP="000205EA">
            <w:pPr>
              <w:jc w:val="center"/>
              <w:rPr>
                <w:sz w:val="22"/>
                <w:szCs w:val="22"/>
                <w:lang w:eastAsia="lt-LT"/>
              </w:rPr>
            </w:pPr>
            <w:r w:rsidRPr="00595928">
              <w:rPr>
                <w:sz w:val="22"/>
                <w:szCs w:val="22"/>
                <w:lang w:eastAsia="lt-LT"/>
              </w:rPr>
              <w:t>4</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rsidR="00862EA6" w:rsidRPr="00595928" w:rsidRDefault="00862EA6" w:rsidP="000205EA">
            <w:pPr>
              <w:jc w:val="center"/>
              <w:rPr>
                <w:sz w:val="22"/>
                <w:szCs w:val="22"/>
                <w:lang w:eastAsia="lt-LT"/>
              </w:rPr>
            </w:pPr>
            <w:r w:rsidRPr="00595928">
              <w:rPr>
                <w:sz w:val="22"/>
                <w:szCs w:val="22"/>
                <w:lang w:eastAsia="lt-LT"/>
              </w:rPr>
              <w:t>5</w:t>
            </w:r>
          </w:p>
        </w:tc>
        <w:tc>
          <w:tcPr>
            <w:tcW w:w="992" w:type="dxa"/>
            <w:tcBorders>
              <w:top w:val="single" w:sz="4" w:space="0" w:color="auto"/>
              <w:left w:val="nil"/>
              <w:bottom w:val="single" w:sz="4" w:space="0" w:color="auto"/>
              <w:right w:val="single" w:sz="4" w:space="0" w:color="auto"/>
            </w:tcBorders>
            <w:shd w:val="clear" w:color="000000" w:fill="FFFFFF"/>
            <w:vAlign w:val="bottom"/>
            <w:hideMark/>
          </w:tcPr>
          <w:p w:rsidR="00862EA6" w:rsidRPr="00595928" w:rsidRDefault="00862EA6" w:rsidP="000205EA">
            <w:pPr>
              <w:jc w:val="center"/>
              <w:rPr>
                <w:sz w:val="22"/>
                <w:szCs w:val="22"/>
                <w:lang w:eastAsia="lt-LT"/>
              </w:rPr>
            </w:pPr>
            <w:r w:rsidRPr="00595928">
              <w:rPr>
                <w:sz w:val="22"/>
                <w:szCs w:val="22"/>
                <w:lang w:eastAsia="lt-LT"/>
              </w:rPr>
              <w:t>6</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862EA6" w:rsidRPr="00595928" w:rsidRDefault="00862EA6" w:rsidP="000205EA">
            <w:pPr>
              <w:jc w:val="center"/>
              <w:rPr>
                <w:sz w:val="22"/>
                <w:szCs w:val="22"/>
                <w:lang w:eastAsia="lt-LT"/>
              </w:rPr>
            </w:pPr>
            <w:r>
              <w:rPr>
                <w:sz w:val="22"/>
                <w:szCs w:val="22"/>
                <w:lang w:eastAsia="lt-LT"/>
              </w:rPr>
              <w:t>7</w:t>
            </w:r>
          </w:p>
        </w:tc>
        <w:tc>
          <w:tcPr>
            <w:tcW w:w="1134" w:type="dxa"/>
            <w:tcBorders>
              <w:top w:val="nil"/>
              <w:left w:val="nil"/>
              <w:bottom w:val="single" w:sz="4" w:space="0" w:color="auto"/>
              <w:right w:val="single" w:sz="4" w:space="0" w:color="auto"/>
            </w:tcBorders>
            <w:shd w:val="clear" w:color="000000" w:fill="FFFFFF"/>
            <w:noWrap/>
            <w:vAlign w:val="bottom"/>
            <w:hideMark/>
          </w:tcPr>
          <w:p w:rsidR="00862EA6" w:rsidRPr="00595928" w:rsidRDefault="00862EA6" w:rsidP="000205EA">
            <w:pPr>
              <w:jc w:val="center"/>
              <w:rPr>
                <w:sz w:val="22"/>
                <w:szCs w:val="22"/>
                <w:lang w:eastAsia="lt-LT"/>
              </w:rPr>
            </w:pPr>
            <w:r>
              <w:rPr>
                <w:sz w:val="22"/>
                <w:szCs w:val="22"/>
                <w:lang w:eastAsia="lt-LT"/>
              </w:rPr>
              <w:t>8</w:t>
            </w:r>
          </w:p>
        </w:tc>
      </w:tr>
      <w:tr w:rsidR="00862EA6" w:rsidRPr="00595928" w:rsidTr="000205EA">
        <w:trPr>
          <w:trHeight w:val="336"/>
        </w:trPr>
        <w:tc>
          <w:tcPr>
            <w:tcW w:w="534" w:type="dxa"/>
            <w:tcBorders>
              <w:top w:val="nil"/>
              <w:left w:val="single" w:sz="4" w:space="0" w:color="auto"/>
              <w:bottom w:val="single" w:sz="4" w:space="0" w:color="auto"/>
              <w:right w:val="single" w:sz="4" w:space="0" w:color="auto"/>
            </w:tcBorders>
            <w:shd w:val="clear" w:color="000000" w:fill="F2DDDC"/>
            <w:hideMark/>
          </w:tcPr>
          <w:p w:rsidR="00862EA6" w:rsidRPr="00FA669E" w:rsidRDefault="00862EA6" w:rsidP="000205EA">
            <w:r>
              <w:t>1.</w:t>
            </w:r>
          </w:p>
        </w:tc>
        <w:tc>
          <w:tcPr>
            <w:tcW w:w="2863" w:type="dxa"/>
            <w:tcBorders>
              <w:top w:val="nil"/>
              <w:left w:val="nil"/>
              <w:bottom w:val="single" w:sz="4" w:space="0" w:color="auto"/>
              <w:right w:val="single" w:sz="4" w:space="0" w:color="auto"/>
            </w:tcBorders>
            <w:shd w:val="clear" w:color="000000" w:fill="F2DDDC"/>
            <w:hideMark/>
          </w:tcPr>
          <w:p w:rsidR="00862EA6" w:rsidRPr="00FA669E" w:rsidRDefault="00862EA6" w:rsidP="000205EA">
            <w:r w:rsidRPr="00FA669E">
              <w:t>Prognozuojamos pajamos pagal finansinių rodiklių įstatymą</w:t>
            </w:r>
          </w:p>
        </w:tc>
        <w:tc>
          <w:tcPr>
            <w:tcW w:w="1247" w:type="dxa"/>
            <w:tcBorders>
              <w:top w:val="nil"/>
              <w:left w:val="nil"/>
              <w:bottom w:val="single" w:sz="4" w:space="0" w:color="auto"/>
              <w:right w:val="single" w:sz="4" w:space="0" w:color="auto"/>
            </w:tcBorders>
            <w:shd w:val="clear" w:color="000000" w:fill="F2DDDC"/>
            <w:noWrap/>
            <w:hideMark/>
          </w:tcPr>
          <w:p w:rsidR="00862EA6" w:rsidRPr="00FA669E" w:rsidRDefault="00862EA6" w:rsidP="000205EA">
            <w:r w:rsidRPr="00FA669E">
              <w:t>20197</w:t>
            </w:r>
          </w:p>
        </w:tc>
        <w:tc>
          <w:tcPr>
            <w:tcW w:w="1163" w:type="dxa"/>
            <w:tcBorders>
              <w:top w:val="nil"/>
              <w:left w:val="nil"/>
              <w:bottom w:val="single" w:sz="4" w:space="0" w:color="auto"/>
              <w:right w:val="single" w:sz="4" w:space="0" w:color="auto"/>
            </w:tcBorders>
            <w:shd w:val="clear" w:color="000000" w:fill="F2DDDC"/>
            <w:noWrap/>
            <w:hideMark/>
          </w:tcPr>
          <w:p w:rsidR="00862EA6" w:rsidRPr="00FA669E" w:rsidRDefault="00862EA6" w:rsidP="000205EA">
            <w:r w:rsidRPr="00FA669E">
              <w:t>2063,2</w:t>
            </w:r>
          </w:p>
        </w:tc>
        <w:tc>
          <w:tcPr>
            <w:tcW w:w="1134" w:type="dxa"/>
            <w:tcBorders>
              <w:top w:val="nil"/>
              <w:left w:val="nil"/>
              <w:bottom w:val="single" w:sz="4" w:space="0" w:color="auto"/>
              <w:right w:val="single" w:sz="4" w:space="0" w:color="auto"/>
            </w:tcBorders>
            <w:shd w:val="clear" w:color="000000" w:fill="F2DDDC"/>
            <w:noWrap/>
            <w:hideMark/>
          </w:tcPr>
          <w:p w:rsidR="00862EA6" w:rsidRPr="00FA669E" w:rsidRDefault="00862EA6" w:rsidP="000205EA">
            <w:r w:rsidRPr="00FA669E">
              <w:t>22260,2</w:t>
            </w:r>
          </w:p>
        </w:tc>
        <w:tc>
          <w:tcPr>
            <w:tcW w:w="992" w:type="dxa"/>
            <w:tcBorders>
              <w:top w:val="nil"/>
              <w:left w:val="nil"/>
              <w:bottom w:val="single" w:sz="4" w:space="0" w:color="auto"/>
              <w:right w:val="single" w:sz="4" w:space="0" w:color="auto"/>
            </w:tcBorders>
            <w:shd w:val="clear" w:color="000000" w:fill="F2DDDC"/>
            <w:noWrap/>
            <w:hideMark/>
          </w:tcPr>
          <w:p w:rsidR="00862EA6" w:rsidRPr="00FA669E" w:rsidRDefault="00862EA6" w:rsidP="000205EA">
            <w:r w:rsidRPr="00FA669E">
              <w:t>23429,2</w:t>
            </w:r>
          </w:p>
        </w:tc>
        <w:tc>
          <w:tcPr>
            <w:tcW w:w="1134" w:type="dxa"/>
            <w:tcBorders>
              <w:top w:val="nil"/>
              <w:left w:val="nil"/>
              <w:bottom w:val="single" w:sz="4" w:space="0" w:color="auto"/>
              <w:right w:val="single" w:sz="4" w:space="0" w:color="auto"/>
            </w:tcBorders>
            <w:shd w:val="clear" w:color="000000" w:fill="F2DDDC"/>
            <w:noWrap/>
            <w:hideMark/>
          </w:tcPr>
          <w:p w:rsidR="00862EA6" w:rsidRPr="00FA669E" w:rsidRDefault="00862EA6" w:rsidP="000205EA">
            <w:r w:rsidRPr="00FA669E">
              <w:t>1169</w:t>
            </w:r>
          </w:p>
        </w:tc>
        <w:tc>
          <w:tcPr>
            <w:tcW w:w="1134" w:type="dxa"/>
            <w:tcBorders>
              <w:top w:val="nil"/>
              <w:left w:val="nil"/>
              <w:bottom w:val="single" w:sz="4" w:space="0" w:color="auto"/>
              <w:right w:val="single" w:sz="4" w:space="0" w:color="auto"/>
            </w:tcBorders>
            <w:shd w:val="clear" w:color="000000" w:fill="F2DDDC"/>
            <w:noWrap/>
            <w:hideMark/>
          </w:tcPr>
          <w:p w:rsidR="00862EA6" w:rsidRPr="00FA669E" w:rsidRDefault="00862EA6" w:rsidP="000205EA">
            <w:r>
              <w:t>105,3</w:t>
            </w:r>
          </w:p>
        </w:tc>
      </w:tr>
      <w:tr w:rsidR="00862EA6" w:rsidRPr="00595928" w:rsidTr="000205EA">
        <w:trPr>
          <w:trHeight w:val="195"/>
        </w:trPr>
        <w:tc>
          <w:tcPr>
            <w:tcW w:w="534" w:type="dxa"/>
            <w:tcBorders>
              <w:top w:val="nil"/>
              <w:left w:val="single" w:sz="4" w:space="0" w:color="auto"/>
              <w:bottom w:val="single" w:sz="4" w:space="0" w:color="auto"/>
              <w:right w:val="single" w:sz="4" w:space="0" w:color="auto"/>
            </w:tcBorders>
            <w:shd w:val="clear" w:color="000000" w:fill="FFFFFF"/>
            <w:hideMark/>
          </w:tcPr>
          <w:p w:rsidR="00862EA6" w:rsidRPr="00FA669E" w:rsidRDefault="00862EA6" w:rsidP="000205EA">
            <w:r>
              <w:t>2.</w:t>
            </w:r>
          </w:p>
        </w:tc>
        <w:tc>
          <w:tcPr>
            <w:tcW w:w="2863" w:type="dxa"/>
            <w:tcBorders>
              <w:top w:val="nil"/>
              <w:left w:val="nil"/>
              <w:bottom w:val="single" w:sz="4" w:space="0" w:color="auto"/>
              <w:right w:val="single" w:sz="4" w:space="0" w:color="auto"/>
            </w:tcBorders>
            <w:shd w:val="clear" w:color="000000" w:fill="FFFFFF"/>
            <w:hideMark/>
          </w:tcPr>
          <w:p w:rsidR="00862EA6" w:rsidRPr="00FA669E" w:rsidRDefault="00862EA6" w:rsidP="000205EA">
            <w:r w:rsidRPr="00FA669E">
              <w:t xml:space="preserve">Gyventojų pajamų mokestis                  </w:t>
            </w:r>
          </w:p>
        </w:tc>
        <w:tc>
          <w:tcPr>
            <w:tcW w:w="1247" w:type="dxa"/>
            <w:tcBorders>
              <w:top w:val="nil"/>
              <w:left w:val="nil"/>
              <w:bottom w:val="single" w:sz="4" w:space="0" w:color="auto"/>
              <w:right w:val="single" w:sz="4" w:space="0" w:color="auto"/>
            </w:tcBorders>
            <w:shd w:val="clear" w:color="000000" w:fill="FFFFFF"/>
            <w:noWrap/>
            <w:hideMark/>
          </w:tcPr>
          <w:p w:rsidR="00862EA6" w:rsidRPr="00FA669E" w:rsidRDefault="00862EA6" w:rsidP="000205EA">
            <w:r w:rsidRPr="00FA669E">
              <w:t>19063</w:t>
            </w:r>
          </w:p>
        </w:tc>
        <w:tc>
          <w:tcPr>
            <w:tcW w:w="1163" w:type="dxa"/>
            <w:tcBorders>
              <w:top w:val="nil"/>
              <w:left w:val="nil"/>
              <w:bottom w:val="single" w:sz="4" w:space="0" w:color="auto"/>
              <w:right w:val="single" w:sz="4" w:space="0" w:color="auto"/>
            </w:tcBorders>
            <w:shd w:val="clear" w:color="000000" w:fill="FFFFFF"/>
            <w:noWrap/>
            <w:hideMark/>
          </w:tcPr>
          <w:p w:rsidR="00862EA6" w:rsidRPr="00FA669E" w:rsidRDefault="00862EA6" w:rsidP="000205EA">
            <w:r w:rsidRPr="00FA669E">
              <w:t>2033,2</w:t>
            </w:r>
          </w:p>
        </w:tc>
        <w:tc>
          <w:tcPr>
            <w:tcW w:w="1134" w:type="dxa"/>
            <w:tcBorders>
              <w:top w:val="nil"/>
              <w:left w:val="nil"/>
              <w:bottom w:val="single" w:sz="4" w:space="0" w:color="auto"/>
              <w:right w:val="single" w:sz="4" w:space="0" w:color="auto"/>
            </w:tcBorders>
            <w:shd w:val="clear" w:color="000000" w:fill="FFFFFF"/>
            <w:noWrap/>
            <w:hideMark/>
          </w:tcPr>
          <w:p w:rsidR="00862EA6" w:rsidRPr="00FA669E" w:rsidRDefault="00862EA6" w:rsidP="000205EA">
            <w:r w:rsidRPr="00FA669E">
              <w:t>21096,2</w:t>
            </w:r>
          </w:p>
        </w:tc>
        <w:tc>
          <w:tcPr>
            <w:tcW w:w="992" w:type="dxa"/>
            <w:tcBorders>
              <w:top w:val="nil"/>
              <w:left w:val="nil"/>
              <w:bottom w:val="single" w:sz="4" w:space="0" w:color="auto"/>
              <w:right w:val="single" w:sz="4" w:space="0" w:color="auto"/>
            </w:tcBorders>
            <w:shd w:val="clear" w:color="000000" w:fill="FFFFFF"/>
            <w:hideMark/>
          </w:tcPr>
          <w:p w:rsidR="00862EA6" w:rsidRPr="00FA669E" w:rsidRDefault="00862EA6" w:rsidP="000205EA">
            <w:r>
              <w:t>22243,0</w:t>
            </w:r>
          </w:p>
        </w:tc>
        <w:tc>
          <w:tcPr>
            <w:tcW w:w="1134" w:type="dxa"/>
            <w:tcBorders>
              <w:top w:val="nil"/>
              <w:left w:val="nil"/>
              <w:bottom w:val="single" w:sz="4" w:space="0" w:color="auto"/>
              <w:right w:val="single" w:sz="4" w:space="0" w:color="auto"/>
            </w:tcBorders>
            <w:shd w:val="clear" w:color="000000" w:fill="FFFFFF"/>
            <w:hideMark/>
          </w:tcPr>
          <w:p w:rsidR="00862EA6" w:rsidRPr="00FA669E" w:rsidRDefault="00862EA6" w:rsidP="000205EA">
            <w:r w:rsidRPr="00FA669E">
              <w:t>1146,8</w:t>
            </w:r>
          </w:p>
        </w:tc>
        <w:tc>
          <w:tcPr>
            <w:tcW w:w="1134" w:type="dxa"/>
            <w:tcBorders>
              <w:top w:val="nil"/>
              <w:left w:val="nil"/>
              <w:bottom w:val="single" w:sz="4" w:space="0" w:color="auto"/>
              <w:right w:val="single" w:sz="4" w:space="0" w:color="auto"/>
            </w:tcBorders>
            <w:shd w:val="clear" w:color="000000" w:fill="FFFFFF"/>
            <w:hideMark/>
          </w:tcPr>
          <w:p w:rsidR="00862EA6" w:rsidRPr="00FA669E" w:rsidRDefault="00862EA6" w:rsidP="000205EA">
            <w:r w:rsidRPr="00FA669E">
              <w:t>105,4</w:t>
            </w:r>
          </w:p>
        </w:tc>
      </w:tr>
      <w:tr w:rsidR="00862EA6" w:rsidRPr="00595928" w:rsidTr="000205EA">
        <w:trPr>
          <w:trHeight w:val="167"/>
        </w:trPr>
        <w:tc>
          <w:tcPr>
            <w:tcW w:w="534" w:type="dxa"/>
            <w:tcBorders>
              <w:top w:val="nil"/>
              <w:left w:val="single" w:sz="4" w:space="0" w:color="auto"/>
              <w:bottom w:val="single" w:sz="4" w:space="0" w:color="auto"/>
              <w:right w:val="single" w:sz="4" w:space="0" w:color="auto"/>
            </w:tcBorders>
            <w:shd w:val="clear" w:color="000000" w:fill="FFFFFF"/>
            <w:hideMark/>
          </w:tcPr>
          <w:p w:rsidR="00862EA6" w:rsidRPr="00FA669E" w:rsidRDefault="00862EA6" w:rsidP="00862EA6">
            <w:r>
              <w:t>3.</w:t>
            </w:r>
          </w:p>
        </w:tc>
        <w:tc>
          <w:tcPr>
            <w:tcW w:w="2863" w:type="dxa"/>
            <w:tcBorders>
              <w:top w:val="nil"/>
              <w:left w:val="nil"/>
              <w:bottom w:val="single" w:sz="4" w:space="0" w:color="auto"/>
              <w:right w:val="single" w:sz="4" w:space="0" w:color="auto"/>
            </w:tcBorders>
            <w:shd w:val="clear" w:color="000000" w:fill="FFFFFF"/>
            <w:hideMark/>
          </w:tcPr>
          <w:p w:rsidR="00862EA6" w:rsidRPr="00FA669E" w:rsidRDefault="00862EA6" w:rsidP="00862EA6">
            <w:r w:rsidRPr="00FA669E">
              <w:t>Žemės mokestis</w:t>
            </w:r>
          </w:p>
        </w:tc>
        <w:tc>
          <w:tcPr>
            <w:tcW w:w="1247" w:type="dxa"/>
            <w:tcBorders>
              <w:top w:val="nil"/>
              <w:left w:val="nil"/>
              <w:bottom w:val="single" w:sz="4" w:space="0" w:color="auto"/>
              <w:right w:val="single" w:sz="4" w:space="0" w:color="auto"/>
            </w:tcBorders>
            <w:shd w:val="clear" w:color="000000" w:fill="FFFFFF"/>
            <w:noWrap/>
            <w:hideMark/>
          </w:tcPr>
          <w:p w:rsidR="00862EA6" w:rsidRPr="00FA669E" w:rsidRDefault="00862EA6" w:rsidP="00862EA6">
            <w:r w:rsidRPr="00FA669E">
              <w:t>420</w:t>
            </w:r>
          </w:p>
        </w:tc>
        <w:tc>
          <w:tcPr>
            <w:tcW w:w="1163" w:type="dxa"/>
            <w:tcBorders>
              <w:top w:val="nil"/>
              <w:left w:val="nil"/>
              <w:bottom w:val="single" w:sz="4" w:space="0" w:color="auto"/>
              <w:right w:val="single" w:sz="4" w:space="0" w:color="auto"/>
            </w:tcBorders>
            <w:shd w:val="clear" w:color="000000" w:fill="FFFFFF"/>
            <w:noWrap/>
            <w:hideMark/>
          </w:tcPr>
          <w:p w:rsidR="00862EA6" w:rsidRPr="00FA669E" w:rsidRDefault="00862EA6" w:rsidP="00862EA6">
            <w:r w:rsidRPr="00FA669E">
              <w:t>0</w:t>
            </w:r>
          </w:p>
        </w:tc>
        <w:tc>
          <w:tcPr>
            <w:tcW w:w="1134" w:type="dxa"/>
            <w:tcBorders>
              <w:top w:val="nil"/>
              <w:left w:val="nil"/>
              <w:bottom w:val="single" w:sz="4" w:space="0" w:color="auto"/>
              <w:right w:val="single" w:sz="4" w:space="0" w:color="auto"/>
            </w:tcBorders>
            <w:shd w:val="clear" w:color="000000" w:fill="FFFFFF"/>
            <w:noWrap/>
            <w:hideMark/>
          </w:tcPr>
          <w:p w:rsidR="00862EA6" w:rsidRPr="00FA669E" w:rsidRDefault="00862EA6" w:rsidP="00862EA6">
            <w:r w:rsidRPr="00FA669E">
              <w:t>420,0</w:t>
            </w:r>
          </w:p>
        </w:tc>
        <w:tc>
          <w:tcPr>
            <w:tcW w:w="992" w:type="dxa"/>
            <w:tcBorders>
              <w:top w:val="nil"/>
              <w:left w:val="nil"/>
              <w:bottom w:val="single" w:sz="4" w:space="0" w:color="auto"/>
              <w:right w:val="single" w:sz="4" w:space="0" w:color="auto"/>
            </w:tcBorders>
            <w:shd w:val="clear" w:color="000000" w:fill="FFFFFF"/>
            <w:hideMark/>
          </w:tcPr>
          <w:p w:rsidR="00862EA6" w:rsidRPr="00FA669E" w:rsidRDefault="00862EA6" w:rsidP="00862EA6">
            <w:r w:rsidRPr="00FA669E">
              <w:t>422,4</w:t>
            </w:r>
          </w:p>
        </w:tc>
        <w:tc>
          <w:tcPr>
            <w:tcW w:w="1134" w:type="dxa"/>
            <w:tcBorders>
              <w:top w:val="nil"/>
              <w:left w:val="nil"/>
              <w:bottom w:val="single" w:sz="4" w:space="0" w:color="auto"/>
              <w:right w:val="single" w:sz="4" w:space="0" w:color="auto"/>
            </w:tcBorders>
            <w:shd w:val="clear" w:color="000000" w:fill="FFFFFF"/>
            <w:hideMark/>
          </w:tcPr>
          <w:p w:rsidR="00862EA6" w:rsidRPr="00FA669E" w:rsidRDefault="00862EA6" w:rsidP="00862EA6">
            <w:r w:rsidRPr="00FA669E">
              <w:t>2,4</w:t>
            </w:r>
          </w:p>
        </w:tc>
        <w:tc>
          <w:tcPr>
            <w:tcW w:w="1134" w:type="dxa"/>
            <w:tcBorders>
              <w:top w:val="nil"/>
              <w:left w:val="nil"/>
              <w:bottom w:val="single" w:sz="4" w:space="0" w:color="auto"/>
              <w:right w:val="single" w:sz="4" w:space="0" w:color="auto"/>
            </w:tcBorders>
            <w:shd w:val="clear" w:color="000000" w:fill="FFFFFF"/>
            <w:hideMark/>
          </w:tcPr>
          <w:p w:rsidR="00862EA6" w:rsidRPr="00FA669E" w:rsidRDefault="00862EA6" w:rsidP="00862EA6">
            <w:r w:rsidRPr="00FA669E">
              <w:t>100,6</w:t>
            </w:r>
          </w:p>
        </w:tc>
      </w:tr>
      <w:tr w:rsidR="00862EA6" w:rsidRPr="00595928" w:rsidTr="000205EA">
        <w:trPr>
          <w:trHeight w:val="149"/>
        </w:trPr>
        <w:tc>
          <w:tcPr>
            <w:tcW w:w="534" w:type="dxa"/>
            <w:tcBorders>
              <w:top w:val="nil"/>
              <w:left w:val="single" w:sz="4" w:space="0" w:color="auto"/>
              <w:bottom w:val="single" w:sz="4" w:space="0" w:color="auto"/>
              <w:right w:val="single" w:sz="4" w:space="0" w:color="auto"/>
            </w:tcBorders>
            <w:shd w:val="clear" w:color="000000" w:fill="FFFFFF"/>
            <w:hideMark/>
          </w:tcPr>
          <w:p w:rsidR="00862EA6" w:rsidRPr="00FA669E" w:rsidRDefault="00862EA6" w:rsidP="00862EA6">
            <w:r>
              <w:t>4.</w:t>
            </w:r>
          </w:p>
        </w:tc>
        <w:tc>
          <w:tcPr>
            <w:tcW w:w="2863" w:type="dxa"/>
            <w:tcBorders>
              <w:top w:val="nil"/>
              <w:left w:val="nil"/>
              <w:bottom w:val="single" w:sz="4" w:space="0" w:color="auto"/>
              <w:right w:val="single" w:sz="4" w:space="0" w:color="auto"/>
            </w:tcBorders>
            <w:shd w:val="clear" w:color="000000" w:fill="FFFFFF"/>
            <w:hideMark/>
          </w:tcPr>
          <w:p w:rsidR="00862EA6" w:rsidRPr="00FA669E" w:rsidRDefault="00862EA6" w:rsidP="00862EA6">
            <w:r>
              <w:t>Nekil</w:t>
            </w:r>
            <w:r w:rsidRPr="00FA669E">
              <w:t>nojamojo turto mokestis</w:t>
            </w:r>
          </w:p>
        </w:tc>
        <w:tc>
          <w:tcPr>
            <w:tcW w:w="1247" w:type="dxa"/>
            <w:tcBorders>
              <w:top w:val="nil"/>
              <w:left w:val="nil"/>
              <w:bottom w:val="single" w:sz="4" w:space="0" w:color="auto"/>
              <w:right w:val="single" w:sz="4" w:space="0" w:color="auto"/>
            </w:tcBorders>
            <w:shd w:val="clear" w:color="000000" w:fill="FFFFFF"/>
            <w:noWrap/>
            <w:hideMark/>
          </w:tcPr>
          <w:p w:rsidR="00862EA6" w:rsidRPr="00FA669E" w:rsidRDefault="00862EA6" w:rsidP="00862EA6">
            <w:r w:rsidRPr="00FA669E">
              <w:t>410</w:t>
            </w:r>
          </w:p>
        </w:tc>
        <w:tc>
          <w:tcPr>
            <w:tcW w:w="1163" w:type="dxa"/>
            <w:tcBorders>
              <w:top w:val="nil"/>
              <w:left w:val="nil"/>
              <w:bottom w:val="single" w:sz="4" w:space="0" w:color="auto"/>
              <w:right w:val="single" w:sz="4" w:space="0" w:color="auto"/>
            </w:tcBorders>
            <w:shd w:val="clear" w:color="000000" w:fill="FFFFFF"/>
            <w:noWrap/>
            <w:hideMark/>
          </w:tcPr>
          <w:p w:rsidR="00862EA6" w:rsidRPr="00FA669E" w:rsidRDefault="00862EA6" w:rsidP="00862EA6">
            <w:r w:rsidRPr="00FA669E">
              <w:t>15</w:t>
            </w:r>
          </w:p>
        </w:tc>
        <w:tc>
          <w:tcPr>
            <w:tcW w:w="1134" w:type="dxa"/>
            <w:tcBorders>
              <w:top w:val="nil"/>
              <w:left w:val="nil"/>
              <w:bottom w:val="single" w:sz="4" w:space="0" w:color="auto"/>
              <w:right w:val="single" w:sz="4" w:space="0" w:color="auto"/>
            </w:tcBorders>
            <w:shd w:val="clear" w:color="000000" w:fill="FFFFFF"/>
            <w:noWrap/>
            <w:hideMark/>
          </w:tcPr>
          <w:p w:rsidR="00862EA6" w:rsidRPr="00FA669E" w:rsidRDefault="00862EA6" w:rsidP="00862EA6">
            <w:r w:rsidRPr="00FA669E">
              <w:t>425,0</w:t>
            </w:r>
          </w:p>
        </w:tc>
        <w:tc>
          <w:tcPr>
            <w:tcW w:w="992" w:type="dxa"/>
            <w:tcBorders>
              <w:top w:val="nil"/>
              <w:left w:val="nil"/>
              <w:bottom w:val="single" w:sz="4" w:space="0" w:color="auto"/>
              <w:right w:val="single" w:sz="4" w:space="0" w:color="auto"/>
            </w:tcBorders>
            <w:shd w:val="clear" w:color="000000" w:fill="FFFFFF"/>
            <w:hideMark/>
          </w:tcPr>
          <w:p w:rsidR="00862EA6" w:rsidRPr="00FA669E" w:rsidRDefault="00862EA6" w:rsidP="00862EA6">
            <w:r>
              <w:t>426,4</w:t>
            </w:r>
          </w:p>
        </w:tc>
        <w:tc>
          <w:tcPr>
            <w:tcW w:w="1134" w:type="dxa"/>
            <w:tcBorders>
              <w:top w:val="nil"/>
              <w:left w:val="nil"/>
              <w:bottom w:val="single" w:sz="4" w:space="0" w:color="auto"/>
              <w:right w:val="single" w:sz="4" w:space="0" w:color="auto"/>
            </w:tcBorders>
            <w:shd w:val="clear" w:color="000000" w:fill="FFFFFF"/>
            <w:hideMark/>
          </w:tcPr>
          <w:p w:rsidR="00862EA6" w:rsidRPr="00FA669E" w:rsidRDefault="00862EA6" w:rsidP="00862EA6">
            <w:r w:rsidRPr="00FA669E">
              <w:t>1,4</w:t>
            </w:r>
          </w:p>
        </w:tc>
        <w:tc>
          <w:tcPr>
            <w:tcW w:w="1134" w:type="dxa"/>
            <w:tcBorders>
              <w:top w:val="nil"/>
              <w:left w:val="nil"/>
              <w:bottom w:val="single" w:sz="4" w:space="0" w:color="auto"/>
              <w:right w:val="single" w:sz="4" w:space="0" w:color="auto"/>
            </w:tcBorders>
            <w:shd w:val="clear" w:color="000000" w:fill="FFFFFF"/>
            <w:hideMark/>
          </w:tcPr>
          <w:p w:rsidR="00862EA6" w:rsidRPr="00FA669E" w:rsidRDefault="00862EA6" w:rsidP="00862EA6">
            <w:r w:rsidRPr="00FA669E">
              <w:t>100,3</w:t>
            </w:r>
          </w:p>
        </w:tc>
      </w:tr>
      <w:tr w:rsidR="00862EA6" w:rsidRPr="00595928" w:rsidTr="000205EA">
        <w:trPr>
          <w:trHeight w:val="186"/>
        </w:trPr>
        <w:tc>
          <w:tcPr>
            <w:tcW w:w="534" w:type="dxa"/>
            <w:tcBorders>
              <w:top w:val="nil"/>
              <w:left w:val="single" w:sz="4" w:space="0" w:color="auto"/>
              <w:bottom w:val="single" w:sz="4" w:space="0" w:color="auto"/>
              <w:right w:val="single" w:sz="4" w:space="0" w:color="auto"/>
            </w:tcBorders>
            <w:shd w:val="clear" w:color="000000" w:fill="FFFFFF"/>
            <w:hideMark/>
          </w:tcPr>
          <w:p w:rsidR="00862EA6" w:rsidRPr="00FA669E" w:rsidRDefault="00862EA6" w:rsidP="00862EA6">
            <w:r>
              <w:t>5.</w:t>
            </w:r>
          </w:p>
        </w:tc>
        <w:tc>
          <w:tcPr>
            <w:tcW w:w="2863" w:type="dxa"/>
            <w:tcBorders>
              <w:top w:val="nil"/>
              <w:left w:val="nil"/>
              <w:bottom w:val="single" w:sz="4" w:space="0" w:color="auto"/>
              <w:right w:val="single" w:sz="4" w:space="0" w:color="auto"/>
            </w:tcBorders>
            <w:shd w:val="clear" w:color="000000" w:fill="FFFFFF"/>
            <w:hideMark/>
          </w:tcPr>
          <w:p w:rsidR="00862EA6" w:rsidRPr="00FA669E" w:rsidRDefault="00862EA6" w:rsidP="00862EA6">
            <w:r w:rsidRPr="00FA669E">
              <w:t>Paveldimo turto mokestis</w:t>
            </w:r>
          </w:p>
        </w:tc>
        <w:tc>
          <w:tcPr>
            <w:tcW w:w="1247" w:type="dxa"/>
            <w:tcBorders>
              <w:top w:val="nil"/>
              <w:left w:val="nil"/>
              <w:bottom w:val="single" w:sz="4" w:space="0" w:color="auto"/>
              <w:right w:val="single" w:sz="4" w:space="0" w:color="auto"/>
            </w:tcBorders>
            <w:shd w:val="clear" w:color="000000" w:fill="FFFFFF"/>
            <w:noWrap/>
            <w:hideMark/>
          </w:tcPr>
          <w:p w:rsidR="00862EA6" w:rsidRPr="00FA669E" w:rsidRDefault="00862EA6" w:rsidP="00862EA6">
            <w:r w:rsidRPr="00FA669E">
              <w:t>8</w:t>
            </w:r>
          </w:p>
        </w:tc>
        <w:tc>
          <w:tcPr>
            <w:tcW w:w="1163" w:type="dxa"/>
            <w:tcBorders>
              <w:top w:val="nil"/>
              <w:left w:val="nil"/>
              <w:bottom w:val="single" w:sz="4" w:space="0" w:color="auto"/>
              <w:right w:val="single" w:sz="4" w:space="0" w:color="auto"/>
            </w:tcBorders>
            <w:shd w:val="clear" w:color="000000" w:fill="FFFFFF"/>
            <w:noWrap/>
            <w:hideMark/>
          </w:tcPr>
          <w:p w:rsidR="00862EA6" w:rsidRPr="00FA669E" w:rsidRDefault="00862EA6" w:rsidP="00862EA6">
            <w:r w:rsidRPr="00FA669E">
              <w:t>7</w:t>
            </w:r>
          </w:p>
        </w:tc>
        <w:tc>
          <w:tcPr>
            <w:tcW w:w="1134" w:type="dxa"/>
            <w:tcBorders>
              <w:top w:val="nil"/>
              <w:left w:val="nil"/>
              <w:bottom w:val="single" w:sz="4" w:space="0" w:color="auto"/>
              <w:right w:val="single" w:sz="4" w:space="0" w:color="auto"/>
            </w:tcBorders>
            <w:shd w:val="clear" w:color="000000" w:fill="FFFFFF"/>
            <w:noWrap/>
            <w:hideMark/>
          </w:tcPr>
          <w:p w:rsidR="00862EA6" w:rsidRPr="00FA669E" w:rsidRDefault="00862EA6" w:rsidP="00862EA6">
            <w:r w:rsidRPr="00FA669E">
              <w:t>15,0</w:t>
            </w:r>
          </w:p>
        </w:tc>
        <w:tc>
          <w:tcPr>
            <w:tcW w:w="992" w:type="dxa"/>
            <w:tcBorders>
              <w:top w:val="nil"/>
              <w:left w:val="nil"/>
              <w:bottom w:val="single" w:sz="4" w:space="0" w:color="auto"/>
              <w:right w:val="single" w:sz="4" w:space="0" w:color="auto"/>
            </w:tcBorders>
            <w:shd w:val="clear" w:color="000000" w:fill="FFFFFF"/>
            <w:hideMark/>
          </w:tcPr>
          <w:p w:rsidR="00862EA6" w:rsidRPr="00FA669E" w:rsidRDefault="00862EA6" w:rsidP="00862EA6">
            <w:r>
              <w:t>14,8</w:t>
            </w:r>
          </w:p>
        </w:tc>
        <w:tc>
          <w:tcPr>
            <w:tcW w:w="1134" w:type="dxa"/>
            <w:tcBorders>
              <w:top w:val="nil"/>
              <w:left w:val="nil"/>
              <w:bottom w:val="single" w:sz="4" w:space="0" w:color="auto"/>
              <w:right w:val="single" w:sz="4" w:space="0" w:color="auto"/>
            </w:tcBorders>
            <w:shd w:val="clear" w:color="000000" w:fill="FFFFFF"/>
            <w:hideMark/>
          </w:tcPr>
          <w:p w:rsidR="00862EA6" w:rsidRPr="00FA669E" w:rsidRDefault="00862EA6" w:rsidP="00862EA6">
            <w:r w:rsidRPr="00FA669E">
              <w:t>-0,2</w:t>
            </w:r>
          </w:p>
        </w:tc>
        <w:tc>
          <w:tcPr>
            <w:tcW w:w="1134" w:type="dxa"/>
            <w:tcBorders>
              <w:top w:val="nil"/>
              <w:left w:val="nil"/>
              <w:bottom w:val="single" w:sz="4" w:space="0" w:color="auto"/>
              <w:right w:val="single" w:sz="4" w:space="0" w:color="auto"/>
            </w:tcBorders>
            <w:shd w:val="clear" w:color="000000" w:fill="FFFFFF"/>
            <w:hideMark/>
          </w:tcPr>
          <w:p w:rsidR="00862EA6" w:rsidRPr="00FA669E" w:rsidRDefault="00862EA6" w:rsidP="00862EA6">
            <w:r w:rsidRPr="00FA669E">
              <w:t>98,7</w:t>
            </w:r>
          </w:p>
        </w:tc>
      </w:tr>
      <w:tr w:rsidR="00862EA6" w:rsidRPr="00595928" w:rsidTr="000205EA">
        <w:trPr>
          <w:trHeight w:val="149"/>
        </w:trPr>
        <w:tc>
          <w:tcPr>
            <w:tcW w:w="534" w:type="dxa"/>
            <w:tcBorders>
              <w:top w:val="nil"/>
              <w:left w:val="single" w:sz="4" w:space="0" w:color="auto"/>
              <w:bottom w:val="single" w:sz="4" w:space="0" w:color="auto"/>
              <w:right w:val="single" w:sz="4" w:space="0" w:color="auto"/>
            </w:tcBorders>
            <w:shd w:val="clear" w:color="000000" w:fill="FFFFFF"/>
            <w:hideMark/>
          </w:tcPr>
          <w:p w:rsidR="00862EA6" w:rsidRPr="00FA669E" w:rsidRDefault="00862EA6" w:rsidP="00862EA6">
            <w:r>
              <w:t>6.</w:t>
            </w:r>
          </w:p>
        </w:tc>
        <w:tc>
          <w:tcPr>
            <w:tcW w:w="2863" w:type="dxa"/>
            <w:tcBorders>
              <w:top w:val="nil"/>
              <w:left w:val="nil"/>
              <w:bottom w:val="single" w:sz="4" w:space="0" w:color="auto"/>
              <w:right w:val="single" w:sz="4" w:space="0" w:color="auto"/>
            </w:tcBorders>
            <w:shd w:val="clear" w:color="000000" w:fill="FFFFFF"/>
            <w:hideMark/>
          </w:tcPr>
          <w:p w:rsidR="00862EA6" w:rsidRPr="00FA669E" w:rsidRDefault="00862EA6" w:rsidP="00862EA6">
            <w:r w:rsidRPr="00FA669E">
              <w:t>Nuomos už valstybinę žemę mokestis</w:t>
            </w:r>
          </w:p>
        </w:tc>
        <w:tc>
          <w:tcPr>
            <w:tcW w:w="1247" w:type="dxa"/>
            <w:tcBorders>
              <w:top w:val="nil"/>
              <w:left w:val="nil"/>
              <w:bottom w:val="single" w:sz="4" w:space="0" w:color="auto"/>
              <w:right w:val="single" w:sz="4" w:space="0" w:color="auto"/>
            </w:tcBorders>
            <w:shd w:val="clear" w:color="000000" w:fill="FFFFFF"/>
            <w:noWrap/>
            <w:hideMark/>
          </w:tcPr>
          <w:p w:rsidR="00862EA6" w:rsidRPr="00FA669E" w:rsidRDefault="00862EA6" w:rsidP="00862EA6">
            <w:r w:rsidRPr="00FA669E">
              <w:t>180</w:t>
            </w:r>
          </w:p>
        </w:tc>
        <w:tc>
          <w:tcPr>
            <w:tcW w:w="1163" w:type="dxa"/>
            <w:tcBorders>
              <w:top w:val="nil"/>
              <w:left w:val="nil"/>
              <w:bottom w:val="single" w:sz="4" w:space="0" w:color="auto"/>
              <w:right w:val="single" w:sz="4" w:space="0" w:color="auto"/>
            </w:tcBorders>
            <w:shd w:val="clear" w:color="000000" w:fill="FFFFFF"/>
            <w:noWrap/>
            <w:hideMark/>
          </w:tcPr>
          <w:p w:rsidR="00862EA6" w:rsidRPr="00FA669E" w:rsidRDefault="00862EA6" w:rsidP="00862EA6">
            <w:r w:rsidRPr="00FA669E">
              <w:t>6</w:t>
            </w:r>
          </w:p>
        </w:tc>
        <w:tc>
          <w:tcPr>
            <w:tcW w:w="1134" w:type="dxa"/>
            <w:tcBorders>
              <w:top w:val="nil"/>
              <w:left w:val="nil"/>
              <w:bottom w:val="single" w:sz="4" w:space="0" w:color="auto"/>
              <w:right w:val="single" w:sz="4" w:space="0" w:color="auto"/>
            </w:tcBorders>
            <w:shd w:val="clear" w:color="000000" w:fill="FFFFFF"/>
            <w:noWrap/>
            <w:hideMark/>
          </w:tcPr>
          <w:p w:rsidR="00862EA6" w:rsidRPr="00FA669E" w:rsidRDefault="00862EA6" w:rsidP="00862EA6">
            <w:r w:rsidRPr="00FA669E">
              <w:t>186,0</w:t>
            </w:r>
          </w:p>
        </w:tc>
        <w:tc>
          <w:tcPr>
            <w:tcW w:w="992" w:type="dxa"/>
            <w:tcBorders>
              <w:top w:val="nil"/>
              <w:left w:val="nil"/>
              <w:bottom w:val="single" w:sz="4" w:space="0" w:color="auto"/>
              <w:right w:val="single" w:sz="4" w:space="0" w:color="auto"/>
            </w:tcBorders>
            <w:shd w:val="clear" w:color="000000" w:fill="FFFFFF"/>
            <w:hideMark/>
          </w:tcPr>
          <w:p w:rsidR="00862EA6" w:rsidRPr="00FA669E" w:rsidRDefault="00862EA6" w:rsidP="00862EA6">
            <w:r>
              <w:t>192,6</w:t>
            </w:r>
          </w:p>
        </w:tc>
        <w:tc>
          <w:tcPr>
            <w:tcW w:w="1134" w:type="dxa"/>
            <w:tcBorders>
              <w:top w:val="nil"/>
              <w:left w:val="nil"/>
              <w:bottom w:val="single" w:sz="4" w:space="0" w:color="auto"/>
              <w:right w:val="single" w:sz="4" w:space="0" w:color="auto"/>
            </w:tcBorders>
            <w:shd w:val="clear" w:color="000000" w:fill="FFFFFF"/>
            <w:hideMark/>
          </w:tcPr>
          <w:p w:rsidR="00862EA6" w:rsidRPr="00FA669E" w:rsidRDefault="00862EA6" w:rsidP="00862EA6">
            <w:r w:rsidRPr="00FA669E">
              <w:t>6,6</w:t>
            </w:r>
          </w:p>
        </w:tc>
        <w:tc>
          <w:tcPr>
            <w:tcW w:w="1134" w:type="dxa"/>
            <w:tcBorders>
              <w:top w:val="nil"/>
              <w:left w:val="nil"/>
              <w:bottom w:val="single" w:sz="4" w:space="0" w:color="auto"/>
              <w:right w:val="single" w:sz="4" w:space="0" w:color="auto"/>
            </w:tcBorders>
            <w:shd w:val="clear" w:color="000000" w:fill="FFFFFF"/>
            <w:hideMark/>
          </w:tcPr>
          <w:p w:rsidR="00862EA6" w:rsidRPr="00FA669E" w:rsidRDefault="00862EA6" w:rsidP="00862EA6">
            <w:r w:rsidRPr="00FA669E">
              <w:t>103,5</w:t>
            </w:r>
          </w:p>
        </w:tc>
      </w:tr>
      <w:tr w:rsidR="00862EA6" w:rsidRPr="00595928" w:rsidTr="000205EA">
        <w:trPr>
          <w:trHeight w:val="149"/>
        </w:trPr>
        <w:tc>
          <w:tcPr>
            <w:tcW w:w="534" w:type="dxa"/>
            <w:tcBorders>
              <w:top w:val="nil"/>
              <w:left w:val="single" w:sz="4" w:space="0" w:color="auto"/>
              <w:bottom w:val="single" w:sz="4" w:space="0" w:color="auto"/>
              <w:right w:val="single" w:sz="4" w:space="0" w:color="auto"/>
            </w:tcBorders>
            <w:shd w:val="clear" w:color="000000" w:fill="FFFFFF"/>
            <w:hideMark/>
          </w:tcPr>
          <w:p w:rsidR="00862EA6" w:rsidRPr="00FA669E" w:rsidRDefault="00862EA6" w:rsidP="00862EA6">
            <w:r>
              <w:t>7.</w:t>
            </w:r>
          </w:p>
        </w:tc>
        <w:tc>
          <w:tcPr>
            <w:tcW w:w="2863" w:type="dxa"/>
            <w:tcBorders>
              <w:top w:val="nil"/>
              <w:left w:val="nil"/>
              <w:bottom w:val="single" w:sz="4" w:space="0" w:color="auto"/>
              <w:right w:val="single" w:sz="4" w:space="0" w:color="auto"/>
            </w:tcBorders>
            <w:shd w:val="clear" w:color="000000" w:fill="FFFFFF"/>
            <w:hideMark/>
          </w:tcPr>
          <w:p w:rsidR="00862EA6" w:rsidRPr="00FA669E" w:rsidRDefault="00862EA6" w:rsidP="00862EA6">
            <w:r w:rsidRPr="00FA669E">
              <w:t>Valstybės  rinkliava</w:t>
            </w:r>
          </w:p>
        </w:tc>
        <w:tc>
          <w:tcPr>
            <w:tcW w:w="1247" w:type="dxa"/>
            <w:tcBorders>
              <w:top w:val="nil"/>
              <w:left w:val="nil"/>
              <w:bottom w:val="single" w:sz="4" w:space="0" w:color="auto"/>
              <w:right w:val="single" w:sz="4" w:space="0" w:color="auto"/>
            </w:tcBorders>
            <w:shd w:val="clear" w:color="000000" w:fill="FFFFFF"/>
            <w:noWrap/>
            <w:hideMark/>
          </w:tcPr>
          <w:p w:rsidR="00862EA6" w:rsidRPr="00FA669E" w:rsidRDefault="00862EA6" w:rsidP="00862EA6">
            <w:r w:rsidRPr="00FA669E">
              <w:t>40</w:t>
            </w:r>
          </w:p>
        </w:tc>
        <w:tc>
          <w:tcPr>
            <w:tcW w:w="1163" w:type="dxa"/>
            <w:tcBorders>
              <w:top w:val="nil"/>
              <w:left w:val="nil"/>
              <w:bottom w:val="single" w:sz="4" w:space="0" w:color="auto"/>
              <w:right w:val="single" w:sz="4" w:space="0" w:color="auto"/>
            </w:tcBorders>
            <w:shd w:val="clear" w:color="000000" w:fill="FFFFFF"/>
            <w:noWrap/>
            <w:hideMark/>
          </w:tcPr>
          <w:p w:rsidR="00862EA6" w:rsidRPr="00FA669E" w:rsidRDefault="00862EA6" w:rsidP="00862EA6">
            <w:r w:rsidRPr="00FA669E">
              <w:t>9</w:t>
            </w:r>
          </w:p>
        </w:tc>
        <w:tc>
          <w:tcPr>
            <w:tcW w:w="1134" w:type="dxa"/>
            <w:tcBorders>
              <w:top w:val="nil"/>
              <w:left w:val="nil"/>
              <w:bottom w:val="single" w:sz="4" w:space="0" w:color="auto"/>
              <w:right w:val="single" w:sz="4" w:space="0" w:color="auto"/>
            </w:tcBorders>
            <w:shd w:val="clear" w:color="000000" w:fill="FFFFFF"/>
            <w:noWrap/>
            <w:hideMark/>
          </w:tcPr>
          <w:p w:rsidR="00862EA6" w:rsidRPr="00FA669E" w:rsidRDefault="00862EA6" w:rsidP="00862EA6">
            <w:r w:rsidRPr="00FA669E">
              <w:t>49,0</w:t>
            </w:r>
          </w:p>
        </w:tc>
        <w:tc>
          <w:tcPr>
            <w:tcW w:w="992" w:type="dxa"/>
            <w:tcBorders>
              <w:top w:val="nil"/>
              <w:left w:val="nil"/>
              <w:bottom w:val="single" w:sz="4" w:space="0" w:color="auto"/>
              <w:right w:val="single" w:sz="4" w:space="0" w:color="auto"/>
            </w:tcBorders>
            <w:shd w:val="clear" w:color="000000" w:fill="FFFFFF"/>
            <w:hideMark/>
          </w:tcPr>
          <w:p w:rsidR="00862EA6" w:rsidRPr="00FA669E" w:rsidRDefault="00862EA6" w:rsidP="00862EA6">
            <w:r>
              <w:t>52,8</w:t>
            </w:r>
          </w:p>
        </w:tc>
        <w:tc>
          <w:tcPr>
            <w:tcW w:w="1134" w:type="dxa"/>
            <w:tcBorders>
              <w:top w:val="nil"/>
              <w:left w:val="nil"/>
              <w:bottom w:val="single" w:sz="4" w:space="0" w:color="auto"/>
              <w:right w:val="single" w:sz="4" w:space="0" w:color="auto"/>
            </w:tcBorders>
            <w:shd w:val="clear" w:color="000000" w:fill="FFFFFF"/>
            <w:hideMark/>
          </w:tcPr>
          <w:p w:rsidR="00862EA6" w:rsidRPr="00FA669E" w:rsidRDefault="00862EA6" w:rsidP="00862EA6">
            <w:r w:rsidRPr="00FA669E">
              <w:t>3,8</w:t>
            </w:r>
          </w:p>
        </w:tc>
        <w:tc>
          <w:tcPr>
            <w:tcW w:w="1134" w:type="dxa"/>
            <w:tcBorders>
              <w:top w:val="nil"/>
              <w:left w:val="nil"/>
              <w:bottom w:val="single" w:sz="4" w:space="0" w:color="auto"/>
              <w:right w:val="single" w:sz="4" w:space="0" w:color="auto"/>
            </w:tcBorders>
            <w:shd w:val="clear" w:color="000000" w:fill="FFFFFF"/>
            <w:hideMark/>
          </w:tcPr>
          <w:p w:rsidR="00862EA6" w:rsidRPr="00FA669E" w:rsidRDefault="00862EA6" w:rsidP="00862EA6">
            <w:r w:rsidRPr="00FA669E">
              <w:t>107,8</w:t>
            </w:r>
          </w:p>
        </w:tc>
      </w:tr>
      <w:tr w:rsidR="00862EA6" w:rsidRPr="00595928" w:rsidTr="000205EA">
        <w:trPr>
          <w:trHeight w:val="177"/>
        </w:trPr>
        <w:tc>
          <w:tcPr>
            <w:tcW w:w="534" w:type="dxa"/>
            <w:tcBorders>
              <w:top w:val="nil"/>
              <w:left w:val="single" w:sz="4" w:space="0" w:color="auto"/>
              <w:bottom w:val="single" w:sz="4" w:space="0" w:color="auto"/>
              <w:right w:val="single" w:sz="4" w:space="0" w:color="auto"/>
            </w:tcBorders>
            <w:shd w:val="clear" w:color="000000" w:fill="FFFFFF"/>
            <w:hideMark/>
          </w:tcPr>
          <w:p w:rsidR="00862EA6" w:rsidRPr="00FA669E" w:rsidRDefault="00862EA6" w:rsidP="00862EA6">
            <w:r>
              <w:t>8.</w:t>
            </w:r>
          </w:p>
        </w:tc>
        <w:tc>
          <w:tcPr>
            <w:tcW w:w="2863" w:type="dxa"/>
            <w:tcBorders>
              <w:top w:val="nil"/>
              <w:left w:val="nil"/>
              <w:bottom w:val="single" w:sz="4" w:space="0" w:color="auto"/>
              <w:right w:val="single" w:sz="4" w:space="0" w:color="auto"/>
            </w:tcBorders>
            <w:shd w:val="clear" w:color="000000" w:fill="FFFFFF"/>
            <w:hideMark/>
          </w:tcPr>
          <w:p w:rsidR="00862EA6" w:rsidRPr="00FA669E" w:rsidRDefault="00862EA6" w:rsidP="00862EA6">
            <w:r w:rsidRPr="00FA669E">
              <w:t>Pajamos iš baudų, konfiskuoto turto ir kitų netesybų</w:t>
            </w:r>
          </w:p>
        </w:tc>
        <w:tc>
          <w:tcPr>
            <w:tcW w:w="1247" w:type="dxa"/>
            <w:tcBorders>
              <w:top w:val="nil"/>
              <w:left w:val="nil"/>
              <w:bottom w:val="single" w:sz="4" w:space="0" w:color="auto"/>
              <w:right w:val="single" w:sz="4" w:space="0" w:color="auto"/>
            </w:tcBorders>
            <w:shd w:val="clear" w:color="000000" w:fill="FFFFFF"/>
            <w:noWrap/>
            <w:hideMark/>
          </w:tcPr>
          <w:p w:rsidR="00862EA6" w:rsidRPr="00FA669E" w:rsidRDefault="00862EA6" w:rsidP="00862EA6">
            <w:r w:rsidRPr="00FA669E">
              <w:t>25</w:t>
            </w:r>
          </w:p>
        </w:tc>
        <w:tc>
          <w:tcPr>
            <w:tcW w:w="1163" w:type="dxa"/>
            <w:tcBorders>
              <w:top w:val="nil"/>
              <w:left w:val="nil"/>
              <w:bottom w:val="single" w:sz="4" w:space="0" w:color="auto"/>
              <w:right w:val="single" w:sz="4" w:space="0" w:color="auto"/>
            </w:tcBorders>
            <w:shd w:val="clear" w:color="000000" w:fill="FFFFFF"/>
            <w:noWrap/>
            <w:hideMark/>
          </w:tcPr>
          <w:p w:rsidR="00862EA6" w:rsidRPr="00FA669E" w:rsidRDefault="00862EA6" w:rsidP="00862EA6">
            <w:r w:rsidRPr="00FA669E">
              <w:t>0</w:t>
            </w:r>
          </w:p>
        </w:tc>
        <w:tc>
          <w:tcPr>
            <w:tcW w:w="1134" w:type="dxa"/>
            <w:tcBorders>
              <w:top w:val="nil"/>
              <w:left w:val="nil"/>
              <w:bottom w:val="single" w:sz="4" w:space="0" w:color="auto"/>
              <w:right w:val="single" w:sz="4" w:space="0" w:color="auto"/>
            </w:tcBorders>
            <w:shd w:val="clear" w:color="000000" w:fill="FFFFFF"/>
            <w:noWrap/>
            <w:hideMark/>
          </w:tcPr>
          <w:p w:rsidR="00862EA6" w:rsidRPr="00FA669E" w:rsidRDefault="00862EA6" w:rsidP="00862EA6">
            <w:r w:rsidRPr="00FA669E">
              <w:t>25,0</w:t>
            </w:r>
          </w:p>
        </w:tc>
        <w:tc>
          <w:tcPr>
            <w:tcW w:w="992" w:type="dxa"/>
            <w:tcBorders>
              <w:top w:val="nil"/>
              <w:left w:val="nil"/>
              <w:bottom w:val="single" w:sz="4" w:space="0" w:color="auto"/>
              <w:right w:val="single" w:sz="4" w:space="0" w:color="auto"/>
            </w:tcBorders>
            <w:shd w:val="clear" w:color="000000" w:fill="FFFFFF"/>
            <w:hideMark/>
          </w:tcPr>
          <w:p w:rsidR="00862EA6" w:rsidRPr="00FA669E" w:rsidRDefault="00862EA6" w:rsidP="00862EA6">
            <w:r>
              <w:t>28,2</w:t>
            </w:r>
          </w:p>
        </w:tc>
        <w:tc>
          <w:tcPr>
            <w:tcW w:w="1134" w:type="dxa"/>
            <w:tcBorders>
              <w:top w:val="nil"/>
              <w:left w:val="nil"/>
              <w:bottom w:val="single" w:sz="4" w:space="0" w:color="auto"/>
              <w:right w:val="single" w:sz="4" w:space="0" w:color="auto"/>
            </w:tcBorders>
            <w:shd w:val="clear" w:color="000000" w:fill="FFFFFF"/>
            <w:hideMark/>
          </w:tcPr>
          <w:p w:rsidR="00862EA6" w:rsidRPr="00FA669E" w:rsidRDefault="00862EA6" w:rsidP="00862EA6">
            <w:r w:rsidRPr="00FA669E">
              <w:t>3,2</w:t>
            </w:r>
          </w:p>
        </w:tc>
        <w:tc>
          <w:tcPr>
            <w:tcW w:w="1134" w:type="dxa"/>
            <w:tcBorders>
              <w:top w:val="nil"/>
              <w:left w:val="nil"/>
              <w:bottom w:val="single" w:sz="4" w:space="0" w:color="auto"/>
              <w:right w:val="single" w:sz="4" w:space="0" w:color="auto"/>
            </w:tcBorders>
            <w:shd w:val="clear" w:color="000000" w:fill="FFFFFF"/>
            <w:hideMark/>
          </w:tcPr>
          <w:p w:rsidR="00862EA6" w:rsidRPr="00FA669E" w:rsidRDefault="00862EA6" w:rsidP="00862EA6">
            <w:r w:rsidRPr="00FA669E">
              <w:t>112,8</w:t>
            </w:r>
          </w:p>
        </w:tc>
      </w:tr>
      <w:tr w:rsidR="00862EA6" w:rsidRPr="00595928" w:rsidTr="000205EA">
        <w:trPr>
          <w:trHeight w:val="149"/>
        </w:trPr>
        <w:tc>
          <w:tcPr>
            <w:tcW w:w="534" w:type="dxa"/>
            <w:tcBorders>
              <w:top w:val="nil"/>
              <w:left w:val="single" w:sz="4" w:space="0" w:color="auto"/>
              <w:bottom w:val="single" w:sz="4" w:space="0" w:color="auto"/>
              <w:right w:val="single" w:sz="4" w:space="0" w:color="auto"/>
            </w:tcBorders>
            <w:shd w:val="clear" w:color="000000" w:fill="FFFFFF"/>
            <w:hideMark/>
          </w:tcPr>
          <w:p w:rsidR="00862EA6" w:rsidRPr="00FA669E" w:rsidRDefault="00862EA6" w:rsidP="00862EA6">
            <w:r>
              <w:t>9.</w:t>
            </w:r>
          </w:p>
        </w:tc>
        <w:tc>
          <w:tcPr>
            <w:tcW w:w="2863" w:type="dxa"/>
            <w:tcBorders>
              <w:top w:val="nil"/>
              <w:left w:val="nil"/>
              <w:bottom w:val="single" w:sz="4" w:space="0" w:color="auto"/>
              <w:right w:val="single" w:sz="4" w:space="0" w:color="auto"/>
            </w:tcBorders>
            <w:shd w:val="clear" w:color="000000" w:fill="FFFFFF"/>
            <w:hideMark/>
          </w:tcPr>
          <w:p w:rsidR="00862EA6" w:rsidRPr="00FA669E" w:rsidRDefault="00862EA6" w:rsidP="00862EA6">
            <w:r w:rsidRPr="00FA669E">
              <w:t>Palūkanos</w:t>
            </w:r>
          </w:p>
        </w:tc>
        <w:tc>
          <w:tcPr>
            <w:tcW w:w="1247" w:type="dxa"/>
            <w:tcBorders>
              <w:top w:val="nil"/>
              <w:left w:val="nil"/>
              <w:bottom w:val="single" w:sz="4" w:space="0" w:color="auto"/>
              <w:right w:val="single" w:sz="4" w:space="0" w:color="auto"/>
            </w:tcBorders>
            <w:shd w:val="clear" w:color="000000" w:fill="FFFFFF"/>
            <w:noWrap/>
            <w:hideMark/>
          </w:tcPr>
          <w:p w:rsidR="00862EA6" w:rsidRPr="00FA669E" w:rsidRDefault="00862EA6" w:rsidP="00862EA6">
            <w:r w:rsidRPr="00FA669E">
              <w:t>1</w:t>
            </w:r>
          </w:p>
        </w:tc>
        <w:tc>
          <w:tcPr>
            <w:tcW w:w="1163" w:type="dxa"/>
            <w:tcBorders>
              <w:top w:val="nil"/>
              <w:left w:val="nil"/>
              <w:bottom w:val="single" w:sz="4" w:space="0" w:color="auto"/>
              <w:right w:val="single" w:sz="4" w:space="0" w:color="auto"/>
            </w:tcBorders>
            <w:shd w:val="clear" w:color="000000" w:fill="FFFFFF"/>
            <w:noWrap/>
            <w:hideMark/>
          </w:tcPr>
          <w:p w:rsidR="00862EA6" w:rsidRPr="00FA669E" w:rsidRDefault="00862EA6" w:rsidP="00862EA6">
            <w:r w:rsidRPr="00FA669E">
              <w:t>0</w:t>
            </w:r>
          </w:p>
        </w:tc>
        <w:tc>
          <w:tcPr>
            <w:tcW w:w="1134" w:type="dxa"/>
            <w:tcBorders>
              <w:top w:val="nil"/>
              <w:left w:val="nil"/>
              <w:bottom w:val="single" w:sz="4" w:space="0" w:color="auto"/>
              <w:right w:val="single" w:sz="4" w:space="0" w:color="auto"/>
            </w:tcBorders>
            <w:shd w:val="clear" w:color="000000" w:fill="FFFFFF"/>
            <w:noWrap/>
            <w:hideMark/>
          </w:tcPr>
          <w:p w:rsidR="00862EA6" w:rsidRPr="00FA669E" w:rsidRDefault="00862EA6" w:rsidP="00862EA6">
            <w:r w:rsidRPr="00FA669E">
              <w:t>1,0</w:t>
            </w:r>
          </w:p>
        </w:tc>
        <w:tc>
          <w:tcPr>
            <w:tcW w:w="992" w:type="dxa"/>
            <w:tcBorders>
              <w:top w:val="nil"/>
              <w:left w:val="nil"/>
              <w:bottom w:val="single" w:sz="4" w:space="0" w:color="auto"/>
              <w:right w:val="single" w:sz="4" w:space="0" w:color="auto"/>
            </w:tcBorders>
            <w:shd w:val="clear" w:color="000000" w:fill="FFFFFF"/>
            <w:hideMark/>
          </w:tcPr>
          <w:p w:rsidR="00862EA6" w:rsidRPr="00FA669E" w:rsidRDefault="00862EA6" w:rsidP="00862EA6">
            <w:r>
              <w:t>1,6</w:t>
            </w:r>
          </w:p>
        </w:tc>
        <w:tc>
          <w:tcPr>
            <w:tcW w:w="1134" w:type="dxa"/>
            <w:tcBorders>
              <w:top w:val="nil"/>
              <w:left w:val="nil"/>
              <w:bottom w:val="single" w:sz="4" w:space="0" w:color="auto"/>
              <w:right w:val="single" w:sz="4" w:space="0" w:color="auto"/>
            </w:tcBorders>
            <w:shd w:val="clear" w:color="000000" w:fill="FFFFFF"/>
            <w:hideMark/>
          </w:tcPr>
          <w:p w:rsidR="00862EA6" w:rsidRPr="00FA669E" w:rsidRDefault="00862EA6" w:rsidP="00862EA6">
            <w:r w:rsidRPr="00FA669E">
              <w:t>0,6</w:t>
            </w:r>
          </w:p>
        </w:tc>
        <w:tc>
          <w:tcPr>
            <w:tcW w:w="1134" w:type="dxa"/>
            <w:tcBorders>
              <w:top w:val="nil"/>
              <w:left w:val="nil"/>
              <w:bottom w:val="single" w:sz="4" w:space="0" w:color="auto"/>
              <w:right w:val="single" w:sz="4" w:space="0" w:color="auto"/>
            </w:tcBorders>
            <w:shd w:val="clear" w:color="000000" w:fill="FFFFFF"/>
            <w:hideMark/>
          </w:tcPr>
          <w:p w:rsidR="00862EA6" w:rsidRPr="00FA669E" w:rsidRDefault="00862EA6" w:rsidP="00862EA6">
            <w:r w:rsidRPr="00FA669E">
              <w:t>160,0</w:t>
            </w:r>
          </w:p>
        </w:tc>
      </w:tr>
      <w:tr w:rsidR="00862EA6" w:rsidRPr="00595928" w:rsidTr="000205EA">
        <w:trPr>
          <w:trHeight w:val="149"/>
        </w:trPr>
        <w:tc>
          <w:tcPr>
            <w:tcW w:w="534" w:type="dxa"/>
            <w:tcBorders>
              <w:top w:val="nil"/>
              <w:left w:val="single" w:sz="4" w:space="0" w:color="auto"/>
              <w:bottom w:val="single" w:sz="4" w:space="0" w:color="auto"/>
              <w:right w:val="single" w:sz="4" w:space="0" w:color="auto"/>
            </w:tcBorders>
            <w:shd w:val="clear" w:color="000000" w:fill="FFFFFF"/>
            <w:hideMark/>
          </w:tcPr>
          <w:p w:rsidR="00862EA6" w:rsidRPr="00FA669E" w:rsidRDefault="00862EA6" w:rsidP="00862EA6">
            <w:r w:rsidRPr="00FA669E">
              <w:t>1</w:t>
            </w:r>
            <w:r>
              <w:t>0.</w:t>
            </w:r>
          </w:p>
        </w:tc>
        <w:tc>
          <w:tcPr>
            <w:tcW w:w="2863" w:type="dxa"/>
            <w:tcBorders>
              <w:top w:val="nil"/>
              <w:left w:val="nil"/>
              <w:bottom w:val="single" w:sz="4" w:space="0" w:color="auto"/>
              <w:right w:val="single" w:sz="4" w:space="0" w:color="auto"/>
            </w:tcBorders>
            <w:shd w:val="clear" w:color="000000" w:fill="FFFFFF"/>
            <w:hideMark/>
          </w:tcPr>
          <w:p w:rsidR="00862EA6" w:rsidRPr="00FA669E" w:rsidRDefault="00862EA6" w:rsidP="00862EA6">
            <w:r w:rsidRPr="00FA669E">
              <w:t>Kitos neišvardytos pajamos</w:t>
            </w:r>
          </w:p>
        </w:tc>
        <w:tc>
          <w:tcPr>
            <w:tcW w:w="1247" w:type="dxa"/>
            <w:tcBorders>
              <w:top w:val="nil"/>
              <w:left w:val="nil"/>
              <w:bottom w:val="single" w:sz="4" w:space="0" w:color="auto"/>
              <w:right w:val="single" w:sz="4" w:space="0" w:color="auto"/>
            </w:tcBorders>
            <w:shd w:val="clear" w:color="000000" w:fill="FFFFFF"/>
            <w:noWrap/>
            <w:hideMark/>
          </w:tcPr>
          <w:p w:rsidR="00862EA6" w:rsidRPr="00FA669E" w:rsidRDefault="00862EA6" w:rsidP="00862EA6">
            <w:r w:rsidRPr="00FA669E">
              <w:t>50</w:t>
            </w:r>
          </w:p>
        </w:tc>
        <w:tc>
          <w:tcPr>
            <w:tcW w:w="1163" w:type="dxa"/>
            <w:tcBorders>
              <w:top w:val="nil"/>
              <w:left w:val="nil"/>
              <w:bottom w:val="single" w:sz="4" w:space="0" w:color="auto"/>
              <w:right w:val="single" w:sz="4" w:space="0" w:color="auto"/>
            </w:tcBorders>
            <w:shd w:val="clear" w:color="000000" w:fill="FFFFFF"/>
            <w:noWrap/>
            <w:hideMark/>
          </w:tcPr>
          <w:p w:rsidR="00862EA6" w:rsidRPr="00FA669E" w:rsidRDefault="00862EA6" w:rsidP="00862EA6">
            <w:r w:rsidRPr="00FA669E">
              <w:t>-7</w:t>
            </w:r>
          </w:p>
        </w:tc>
        <w:tc>
          <w:tcPr>
            <w:tcW w:w="1134" w:type="dxa"/>
            <w:tcBorders>
              <w:top w:val="nil"/>
              <w:left w:val="nil"/>
              <w:bottom w:val="single" w:sz="4" w:space="0" w:color="auto"/>
              <w:right w:val="single" w:sz="4" w:space="0" w:color="auto"/>
            </w:tcBorders>
            <w:shd w:val="clear" w:color="000000" w:fill="FFFFFF"/>
            <w:noWrap/>
            <w:hideMark/>
          </w:tcPr>
          <w:p w:rsidR="00862EA6" w:rsidRPr="00FA669E" w:rsidRDefault="00862EA6" w:rsidP="00862EA6">
            <w:r w:rsidRPr="00FA669E">
              <w:t>43,0</w:t>
            </w:r>
          </w:p>
        </w:tc>
        <w:tc>
          <w:tcPr>
            <w:tcW w:w="992" w:type="dxa"/>
            <w:tcBorders>
              <w:top w:val="nil"/>
              <w:left w:val="nil"/>
              <w:bottom w:val="single" w:sz="4" w:space="0" w:color="auto"/>
              <w:right w:val="single" w:sz="4" w:space="0" w:color="auto"/>
            </w:tcBorders>
            <w:shd w:val="clear" w:color="000000" w:fill="FFFFFF"/>
            <w:hideMark/>
          </w:tcPr>
          <w:p w:rsidR="00862EA6" w:rsidRPr="00FA669E" w:rsidRDefault="00862EA6" w:rsidP="00862EA6">
            <w:r>
              <w:t>47,4</w:t>
            </w:r>
          </w:p>
        </w:tc>
        <w:tc>
          <w:tcPr>
            <w:tcW w:w="1134" w:type="dxa"/>
            <w:tcBorders>
              <w:top w:val="nil"/>
              <w:left w:val="nil"/>
              <w:bottom w:val="single" w:sz="4" w:space="0" w:color="auto"/>
              <w:right w:val="single" w:sz="4" w:space="0" w:color="auto"/>
            </w:tcBorders>
            <w:shd w:val="clear" w:color="000000" w:fill="FFFFFF"/>
            <w:hideMark/>
          </w:tcPr>
          <w:p w:rsidR="00862EA6" w:rsidRPr="00FA669E" w:rsidRDefault="00862EA6" w:rsidP="00862EA6">
            <w:r w:rsidRPr="00FA669E">
              <w:t>4,4</w:t>
            </w:r>
          </w:p>
        </w:tc>
        <w:tc>
          <w:tcPr>
            <w:tcW w:w="1134" w:type="dxa"/>
            <w:tcBorders>
              <w:top w:val="nil"/>
              <w:left w:val="nil"/>
              <w:bottom w:val="single" w:sz="4" w:space="0" w:color="auto"/>
              <w:right w:val="single" w:sz="4" w:space="0" w:color="auto"/>
            </w:tcBorders>
            <w:shd w:val="clear" w:color="000000" w:fill="FFFFFF"/>
            <w:hideMark/>
          </w:tcPr>
          <w:p w:rsidR="00862EA6" w:rsidRDefault="00862EA6" w:rsidP="00862EA6">
            <w:r w:rsidRPr="00FA669E">
              <w:t>110,2</w:t>
            </w:r>
          </w:p>
        </w:tc>
      </w:tr>
      <w:tr w:rsidR="00862EA6" w:rsidRPr="00595928" w:rsidTr="000205EA">
        <w:trPr>
          <w:trHeight w:val="186"/>
        </w:trPr>
        <w:tc>
          <w:tcPr>
            <w:tcW w:w="534" w:type="dxa"/>
            <w:tcBorders>
              <w:top w:val="nil"/>
              <w:left w:val="single" w:sz="4" w:space="0" w:color="auto"/>
              <w:bottom w:val="single" w:sz="4" w:space="0" w:color="auto"/>
              <w:right w:val="single" w:sz="4" w:space="0" w:color="auto"/>
            </w:tcBorders>
            <w:shd w:val="clear" w:color="000000" w:fill="F2DDDC"/>
            <w:hideMark/>
          </w:tcPr>
          <w:p w:rsidR="00862EA6" w:rsidRPr="00902095" w:rsidRDefault="00862EA6" w:rsidP="00862EA6">
            <w:r w:rsidRPr="00902095">
              <w:t>1</w:t>
            </w:r>
            <w:r>
              <w:t>1.</w:t>
            </w:r>
          </w:p>
        </w:tc>
        <w:tc>
          <w:tcPr>
            <w:tcW w:w="2863" w:type="dxa"/>
            <w:tcBorders>
              <w:top w:val="nil"/>
              <w:left w:val="nil"/>
              <w:bottom w:val="single" w:sz="4" w:space="0" w:color="auto"/>
              <w:right w:val="single" w:sz="4" w:space="0" w:color="auto"/>
            </w:tcBorders>
            <w:shd w:val="clear" w:color="000000" w:fill="F2DDDC"/>
            <w:hideMark/>
          </w:tcPr>
          <w:p w:rsidR="00862EA6" w:rsidRPr="00902095" w:rsidRDefault="00862EA6" w:rsidP="00862EA6">
            <w:r w:rsidRPr="00902095">
              <w:t>Kiti pajamų šaltiniai</w:t>
            </w:r>
          </w:p>
        </w:tc>
        <w:tc>
          <w:tcPr>
            <w:tcW w:w="1247" w:type="dxa"/>
            <w:tcBorders>
              <w:top w:val="nil"/>
              <w:left w:val="nil"/>
              <w:bottom w:val="single" w:sz="4" w:space="0" w:color="auto"/>
              <w:right w:val="single" w:sz="4" w:space="0" w:color="auto"/>
            </w:tcBorders>
            <w:shd w:val="clear" w:color="000000" w:fill="F2DDDC"/>
            <w:noWrap/>
            <w:hideMark/>
          </w:tcPr>
          <w:p w:rsidR="00862EA6" w:rsidRPr="00902095" w:rsidRDefault="00862EA6" w:rsidP="00862EA6">
            <w:r w:rsidRPr="00902095">
              <w:t>2555,5</w:t>
            </w:r>
          </w:p>
        </w:tc>
        <w:tc>
          <w:tcPr>
            <w:tcW w:w="1163" w:type="dxa"/>
            <w:tcBorders>
              <w:top w:val="nil"/>
              <w:left w:val="nil"/>
              <w:bottom w:val="single" w:sz="4" w:space="0" w:color="auto"/>
              <w:right w:val="single" w:sz="4" w:space="0" w:color="auto"/>
            </w:tcBorders>
            <w:shd w:val="clear" w:color="000000" w:fill="F2DDDC"/>
            <w:noWrap/>
            <w:hideMark/>
          </w:tcPr>
          <w:p w:rsidR="00862EA6" w:rsidRPr="00902095" w:rsidRDefault="00862EA6" w:rsidP="00862EA6">
            <w:r w:rsidRPr="00902095">
              <w:t>43,9</w:t>
            </w:r>
          </w:p>
        </w:tc>
        <w:tc>
          <w:tcPr>
            <w:tcW w:w="1134" w:type="dxa"/>
            <w:tcBorders>
              <w:top w:val="nil"/>
              <w:left w:val="nil"/>
              <w:bottom w:val="single" w:sz="4" w:space="0" w:color="auto"/>
              <w:right w:val="single" w:sz="4" w:space="0" w:color="auto"/>
            </w:tcBorders>
            <w:shd w:val="clear" w:color="000000" w:fill="F2DDDC"/>
            <w:noWrap/>
            <w:hideMark/>
          </w:tcPr>
          <w:p w:rsidR="00862EA6" w:rsidRPr="00902095" w:rsidRDefault="00862EA6" w:rsidP="00862EA6">
            <w:r w:rsidRPr="00902095">
              <w:t>2599,4</w:t>
            </w:r>
          </w:p>
        </w:tc>
        <w:tc>
          <w:tcPr>
            <w:tcW w:w="992" w:type="dxa"/>
            <w:tcBorders>
              <w:top w:val="nil"/>
              <w:left w:val="nil"/>
              <w:bottom w:val="single" w:sz="4" w:space="0" w:color="auto"/>
              <w:right w:val="single" w:sz="4" w:space="0" w:color="auto"/>
            </w:tcBorders>
            <w:shd w:val="clear" w:color="000000" w:fill="F2DDDC"/>
            <w:noWrap/>
            <w:hideMark/>
          </w:tcPr>
          <w:p w:rsidR="00862EA6" w:rsidRPr="00902095" w:rsidRDefault="00862EA6" w:rsidP="00862EA6">
            <w:r w:rsidRPr="00902095">
              <w:t>2533,0</w:t>
            </w:r>
          </w:p>
        </w:tc>
        <w:tc>
          <w:tcPr>
            <w:tcW w:w="1134" w:type="dxa"/>
            <w:tcBorders>
              <w:top w:val="nil"/>
              <w:left w:val="nil"/>
              <w:bottom w:val="single" w:sz="4" w:space="0" w:color="auto"/>
              <w:right w:val="single" w:sz="4" w:space="0" w:color="auto"/>
            </w:tcBorders>
            <w:shd w:val="clear" w:color="000000" w:fill="F2DDDC"/>
            <w:noWrap/>
            <w:hideMark/>
          </w:tcPr>
          <w:p w:rsidR="00862EA6" w:rsidRPr="00902095" w:rsidRDefault="00862EA6" w:rsidP="00862EA6">
            <w:r w:rsidRPr="00902095">
              <w:t>-66,4</w:t>
            </w:r>
          </w:p>
        </w:tc>
        <w:tc>
          <w:tcPr>
            <w:tcW w:w="1134" w:type="dxa"/>
            <w:tcBorders>
              <w:top w:val="nil"/>
              <w:left w:val="nil"/>
              <w:bottom w:val="single" w:sz="4" w:space="0" w:color="auto"/>
              <w:right w:val="single" w:sz="4" w:space="0" w:color="auto"/>
            </w:tcBorders>
            <w:shd w:val="clear" w:color="000000" w:fill="F2DDDC"/>
            <w:noWrap/>
            <w:hideMark/>
          </w:tcPr>
          <w:p w:rsidR="00862EA6" w:rsidRPr="00902095" w:rsidRDefault="00862EA6" w:rsidP="00862EA6">
            <w:r w:rsidRPr="00902095">
              <w:t>97,4</w:t>
            </w:r>
          </w:p>
        </w:tc>
      </w:tr>
      <w:tr w:rsidR="00862EA6" w:rsidRPr="00595928" w:rsidTr="000205EA">
        <w:trPr>
          <w:trHeight w:val="195"/>
        </w:trPr>
        <w:tc>
          <w:tcPr>
            <w:tcW w:w="534" w:type="dxa"/>
            <w:tcBorders>
              <w:top w:val="nil"/>
              <w:left w:val="single" w:sz="4" w:space="0" w:color="auto"/>
              <w:bottom w:val="single" w:sz="4" w:space="0" w:color="auto"/>
              <w:right w:val="single" w:sz="4" w:space="0" w:color="auto"/>
            </w:tcBorders>
            <w:shd w:val="clear" w:color="000000" w:fill="FFFFFF"/>
            <w:hideMark/>
          </w:tcPr>
          <w:p w:rsidR="00862EA6" w:rsidRPr="00902095" w:rsidRDefault="00862EA6" w:rsidP="00862EA6">
            <w:r w:rsidRPr="00902095">
              <w:t>1</w:t>
            </w:r>
            <w:r>
              <w:t>2.</w:t>
            </w:r>
          </w:p>
        </w:tc>
        <w:tc>
          <w:tcPr>
            <w:tcW w:w="2863" w:type="dxa"/>
            <w:tcBorders>
              <w:top w:val="nil"/>
              <w:left w:val="nil"/>
              <w:bottom w:val="single" w:sz="4" w:space="0" w:color="auto"/>
              <w:right w:val="single" w:sz="4" w:space="0" w:color="auto"/>
            </w:tcBorders>
            <w:shd w:val="clear" w:color="000000" w:fill="FFFFFF"/>
            <w:hideMark/>
          </w:tcPr>
          <w:p w:rsidR="00862EA6" w:rsidRPr="00902095" w:rsidRDefault="00862EA6" w:rsidP="00862EA6">
            <w:r w:rsidRPr="00902095">
              <w:t xml:space="preserve">Ilgalaikio materialiojo turto realizavimo pajamos </w:t>
            </w:r>
          </w:p>
        </w:tc>
        <w:tc>
          <w:tcPr>
            <w:tcW w:w="1247" w:type="dxa"/>
            <w:tcBorders>
              <w:top w:val="nil"/>
              <w:left w:val="nil"/>
              <w:bottom w:val="single" w:sz="4" w:space="0" w:color="auto"/>
              <w:right w:val="single" w:sz="4" w:space="0" w:color="auto"/>
            </w:tcBorders>
            <w:shd w:val="clear" w:color="000000" w:fill="FFFFFF"/>
            <w:noWrap/>
            <w:hideMark/>
          </w:tcPr>
          <w:p w:rsidR="00862EA6" w:rsidRPr="00902095" w:rsidRDefault="00862EA6" w:rsidP="00862EA6">
            <w:r w:rsidRPr="00902095">
              <w:t>122</w:t>
            </w:r>
          </w:p>
        </w:tc>
        <w:tc>
          <w:tcPr>
            <w:tcW w:w="1163" w:type="dxa"/>
            <w:tcBorders>
              <w:top w:val="nil"/>
              <w:left w:val="nil"/>
              <w:bottom w:val="single" w:sz="4" w:space="0" w:color="auto"/>
              <w:right w:val="single" w:sz="4" w:space="0" w:color="auto"/>
            </w:tcBorders>
            <w:shd w:val="clear" w:color="000000" w:fill="FFFFFF"/>
            <w:noWrap/>
            <w:hideMark/>
          </w:tcPr>
          <w:p w:rsidR="00862EA6" w:rsidRPr="00902095" w:rsidRDefault="00862EA6" w:rsidP="00862EA6">
            <w:r w:rsidRPr="00902095">
              <w:t>99</w:t>
            </w:r>
          </w:p>
        </w:tc>
        <w:tc>
          <w:tcPr>
            <w:tcW w:w="1134" w:type="dxa"/>
            <w:tcBorders>
              <w:top w:val="nil"/>
              <w:left w:val="nil"/>
              <w:bottom w:val="single" w:sz="4" w:space="0" w:color="auto"/>
              <w:right w:val="single" w:sz="4" w:space="0" w:color="auto"/>
            </w:tcBorders>
            <w:shd w:val="clear" w:color="000000" w:fill="FFFFFF"/>
            <w:noWrap/>
            <w:hideMark/>
          </w:tcPr>
          <w:p w:rsidR="00862EA6" w:rsidRPr="00902095" w:rsidRDefault="00862EA6" w:rsidP="00862EA6">
            <w:r w:rsidRPr="00902095">
              <w:t>221,0</w:t>
            </w:r>
          </w:p>
        </w:tc>
        <w:tc>
          <w:tcPr>
            <w:tcW w:w="992" w:type="dxa"/>
            <w:tcBorders>
              <w:top w:val="nil"/>
              <w:left w:val="nil"/>
              <w:bottom w:val="single" w:sz="4" w:space="0" w:color="auto"/>
              <w:right w:val="single" w:sz="4" w:space="0" w:color="auto"/>
            </w:tcBorders>
            <w:shd w:val="clear" w:color="000000" w:fill="FFFFFF"/>
            <w:hideMark/>
          </w:tcPr>
          <w:p w:rsidR="00862EA6" w:rsidRPr="00902095" w:rsidRDefault="00862EA6" w:rsidP="00862EA6">
            <w:r w:rsidRPr="00902095">
              <w:t>296,7</w:t>
            </w:r>
          </w:p>
        </w:tc>
        <w:tc>
          <w:tcPr>
            <w:tcW w:w="1134" w:type="dxa"/>
            <w:tcBorders>
              <w:top w:val="nil"/>
              <w:left w:val="nil"/>
              <w:bottom w:val="single" w:sz="4" w:space="0" w:color="auto"/>
              <w:right w:val="single" w:sz="4" w:space="0" w:color="auto"/>
            </w:tcBorders>
            <w:shd w:val="clear" w:color="000000" w:fill="FFFFFF"/>
            <w:hideMark/>
          </w:tcPr>
          <w:p w:rsidR="00862EA6" w:rsidRPr="00902095" w:rsidRDefault="00862EA6" w:rsidP="00862EA6">
            <w:r w:rsidRPr="00902095">
              <w:t>75,7</w:t>
            </w:r>
          </w:p>
        </w:tc>
        <w:tc>
          <w:tcPr>
            <w:tcW w:w="1134" w:type="dxa"/>
            <w:tcBorders>
              <w:top w:val="nil"/>
              <w:left w:val="nil"/>
              <w:bottom w:val="single" w:sz="4" w:space="0" w:color="auto"/>
              <w:right w:val="single" w:sz="4" w:space="0" w:color="auto"/>
            </w:tcBorders>
            <w:shd w:val="clear" w:color="000000" w:fill="FFFFFF"/>
            <w:hideMark/>
          </w:tcPr>
          <w:p w:rsidR="00862EA6" w:rsidRPr="00902095" w:rsidRDefault="00862EA6" w:rsidP="00862EA6">
            <w:r w:rsidRPr="00902095">
              <w:t>134,3</w:t>
            </w:r>
          </w:p>
        </w:tc>
      </w:tr>
      <w:tr w:rsidR="00862EA6" w:rsidRPr="00595928" w:rsidTr="000205EA">
        <w:trPr>
          <w:trHeight w:val="186"/>
        </w:trPr>
        <w:tc>
          <w:tcPr>
            <w:tcW w:w="534" w:type="dxa"/>
            <w:tcBorders>
              <w:top w:val="nil"/>
              <w:left w:val="single" w:sz="4" w:space="0" w:color="auto"/>
              <w:bottom w:val="single" w:sz="4" w:space="0" w:color="auto"/>
              <w:right w:val="single" w:sz="4" w:space="0" w:color="auto"/>
            </w:tcBorders>
            <w:shd w:val="clear" w:color="000000" w:fill="FFFFFF"/>
            <w:hideMark/>
          </w:tcPr>
          <w:p w:rsidR="00862EA6" w:rsidRPr="00902095" w:rsidRDefault="00862EA6" w:rsidP="00862EA6">
            <w:r w:rsidRPr="00902095">
              <w:t>1</w:t>
            </w:r>
            <w:r>
              <w:t>3.</w:t>
            </w:r>
          </w:p>
        </w:tc>
        <w:tc>
          <w:tcPr>
            <w:tcW w:w="2863" w:type="dxa"/>
            <w:tcBorders>
              <w:top w:val="nil"/>
              <w:left w:val="nil"/>
              <w:bottom w:val="single" w:sz="4" w:space="0" w:color="auto"/>
              <w:right w:val="single" w:sz="4" w:space="0" w:color="auto"/>
            </w:tcBorders>
            <w:shd w:val="clear" w:color="000000" w:fill="FFFFFF"/>
            <w:hideMark/>
          </w:tcPr>
          <w:p w:rsidR="00862EA6" w:rsidRPr="00902095" w:rsidRDefault="00862EA6" w:rsidP="00862EA6">
            <w:r w:rsidRPr="00902095">
              <w:t>Vietinė rinkliava</w:t>
            </w:r>
          </w:p>
        </w:tc>
        <w:tc>
          <w:tcPr>
            <w:tcW w:w="1247" w:type="dxa"/>
            <w:tcBorders>
              <w:top w:val="nil"/>
              <w:left w:val="nil"/>
              <w:bottom w:val="single" w:sz="4" w:space="0" w:color="auto"/>
              <w:right w:val="single" w:sz="4" w:space="0" w:color="auto"/>
            </w:tcBorders>
            <w:shd w:val="clear" w:color="000000" w:fill="FFFFFF"/>
            <w:noWrap/>
            <w:hideMark/>
          </w:tcPr>
          <w:p w:rsidR="00862EA6" w:rsidRPr="00902095" w:rsidRDefault="00862EA6" w:rsidP="00862EA6">
            <w:r w:rsidRPr="00902095">
              <w:t>10</w:t>
            </w:r>
          </w:p>
        </w:tc>
        <w:tc>
          <w:tcPr>
            <w:tcW w:w="1163" w:type="dxa"/>
            <w:tcBorders>
              <w:top w:val="nil"/>
              <w:left w:val="nil"/>
              <w:bottom w:val="single" w:sz="4" w:space="0" w:color="auto"/>
              <w:right w:val="single" w:sz="4" w:space="0" w:color="auto"/>
            </w:tcBorders>
            <w:shd w:val="clear" w:color="000000" w:fill="FFFFFF"/>
            <w:noWrap/>
            <w:hideMark/>
          </w:tcPr>
          <w:p w:rsidR="00862EA6" w:rsidRPr="00902095" w:rsidRDefault="00862EA6" w:rsidP="00862EA6">
            <w:r w:rsidRPr="00902095">
              <w:t>4</w:t>
            </w:r>
          </w:p>
        </w:tc>
        <w:tc>
          <w:tcPr>
            <w:tcW w:w="1134" w:type="dxa"/>
            <w:tcBorders>
              <w:top w:val="nil"/>
              <w:left w:val="nil"/>
              <w:bottom w:val="single" w:sz="4" w:space="0" w:color="auto"/>
              <w:right w:val="single" w:sz="4" w:space="0" w:color="auto"/>
            </w:tcBorders>
            <w:shd w:val="clear" w:color="000000" w:fill="FFFFFF"/>
            <w:noWrap/>
            <w:hideMark/>
          </w:tcPr>
          <w:p w:rsidR="00862EA6" w:rsidRPr="00902095" w:rsidRDefault="00862EA6" w:rsidP="00862EA6">
            <w:r w:rsidRPr="00902095">
              <w:t>14,0</w:t>
            </w:r>
          </w:p>
        </w:tc>
        <w:tc>
          <w:tcPr>
            <w:tcW w:w="992" w:type="dxa"/>
            <w:tcBorders>
              <w:top w:val="nil"/>
              <w:left w:val="nil"/>
              <w:bottom w:val="single" w:sz="4" w:space="0" w:color="auto"/>
              <w:right w:val="single" w:sz="4" w:space="0" w:color="auto"/>
            </w:tcBorders>
            <w:shd w:val="clear" w:color="000000" w:fill="FFFFFF"/>
            <w:hideMark/>
          </w:tcPr>
          <w:p w:rsidR="00862EA6" w:rsidRPr="00902095" w:rsidRDefault="00862EA6" w:rsidP="00862EA6">
            <w:r w:rsidRPr="00902095">
              <w:t>15,2</w:t>
            </w:r>
          </w:p>
        </w:tc>
        <w:tc>
          <w:tcPr>
            <w:tcW w:w="1134" w:type="dxa"/>
            <w:tcBorders>
              <w:top w:val="nil"/>
              <w:left w:val="nil"/>
              <w:bottom w:val="single" w:sz="4" w:space="0" w:color="auto"/>
              <w:right w:val="single" w:sz="4" w:space="0" w:color="auto"/>
            </w:tcBorders>
            <w:shd w:val="clear" w:color="000000" w:fill="FFFFFF"/>
            <w:hideMark/>
          </w:tcPr>
          <w:p w:rsidR="00862EA6" w:rsidRPr="00902095" w:rsidRDefault="00862EA6" w:rsidP="00862EA6">
            <w:r w:rsidRPr="00902095">
              <w:t>1,2</w:t>
            </w:r>
          </w:p>
        </w:tc>
        <w:tc>
          <w:tcPr>
            <w:tcW w:w="1134" w:type="dxa"/>
            <w:tcBorders>
              <w:top w:val="nil"/>
              <w:left w:val="nil"/>
              <w:bottom w:val="single" w:sz="4" w:space="0" w:color="auto"/>
              <w:right w:val="single" w:sz="4" w:space="0" w:color="auto"/>
            </w:tcBorders>
            <w:shd w:val="clear" w:color="000000" w:fill="FFFFFF"/>
            <w:hideMark/>
          </w:tcPr>
          <w:p w:rsidR="00862EA6" w:rsidRPr="00902095" w:rsidRDefault="00862EA6" w:rsidP="00862EA6">
            <w:r w:rsidRPr="00902095">
              <w:t>108,6</w:t>
            </w:r>
          </w:p>
        </w:tc>
      </w:tr>
      <w:tr w:rsidR="000205EA" w:rsidRPr="00595928" w:rsidTr="000205EA">
        <w:trPr>
          <w:trHeight w:val="204"/>
        </w:trPr>
        <w:tc>
          <w:tcPr>
            <w:tcW w:w="534" w:type="dxa"/>
            <w:tcBorders>
              <w:top w:val="nil"/>
              <w:left w:val="single" w:sz="4" w:space="0" w:color="auto"/>
              <w:bottom w:val="single" w:sz="4" w:space="0" w:color="auto"/>
              <w:right w:val="single" w:sz="4" w:space="0" w:color="auto"/>
            </w:tcBorders>
            <w:shd w:val="clear" w:color="000000" w:fill="FFFFFF"/>
          </w:tcPr>
          <w:p w:rsidR="000205EA" w:rsidRPr="00902095" w:rsidRDefault="000205EA" w:rsidP="00862EA6"/>
        </w:tc>
        <w:tc>
          <w:tcPr>
            <w:tcW w:w="2863" w:type="dxa"/>
            <w:tcBorders>
              <w:top w:val="nil"/>
              <w:left w:val="nil"/>
              <w:bottom w:val="single" w:sz="4" w:space="0" w:color="auto"/>
              <w:right w:val="single" w:sz="4" w:space="0" w:color="auto"/>
            </w:tcBorders>
            <w:shd w:val="clear" w:color="000000" w:fill="FFFFFF"/>
          </w:tcPr>
          <w:p w:rsidR="000205EA" w:rsidRPr="00902095" w:rsidRDefault="000205EA" w:rsidP="00862EA6"/>
        </w:tc>
        <w:tc>
          <w:tcPr>
            <w:tcW w:w="1247" w:type="dxa"/>
            <w:tcBorders>
              <w:top w:val="nil"/>
              <w:left w:val="nil"/>
              <w:bottom w:val="single" w:sz="4" w:space="0" w:color="auto"/>
              <w:right w:val="single" w:sz="4" w:space="0" w:color="auto"/>
            </w:tcBorders>
            <w:shd w:val="clear" w:color="000000" w:fill="FFFFFF"/>
            <w:noWrap/>
          </w:tcPr>
          <w:p w:rsidR="000205EA" w:rsidRPr="00902095" w:rsidRDefault="000205EA" w:rsidP="00862EA6"/>
        </w:tc>
        <w:tc>
          <w:tcPr>
            <w:tcW w:w="1163" w:type="dxa"/>
            <w:tcBorders>
              <w:top w:val="nil"/>
              <w:left w:val="nil"/>
              <w:bottom w:val="single" w:sz="4" w:space="0" w:color="auto"/>
              <w:right w:val="single" w:sz="4" w:space="0" w:color="auto"/>
            </w:tcBorders>
            <w:shd w:val="clear" w:color="000000" w:fill="FFFFFF"/>
            <w:noWrap/>
          </w:tcPr>
          <w:p w:rsidR="000205EA" w:rsidRPr="00902095" w:rsidRDefault="000205EA" w:rsidP="00862EA6"/>
        </w:tc>
        <w:tc>
          <w:tcPr>
            <w:tcW w:w="1134" w:type="dxa"/>
            <w:tcBorders>
              <w:top w:val="nil"/>
              <w:left w:val="nil"/>
              <w:bottom w:val="single" w:sz="4" w:space="0" w:color="auto"/>
              <w:right w:val="single" w:sz="4" w:space="0" w:color="auto"/>
            </w:tcBorders>
            <w:shd w:val="clear" w:color="000000" w:fill="FFFFFF"/>
            <w:noWrap/>
          </w:tcPr>
          <w:p w:rsidR="000205EA" w:rsidRPr="00902095" w:rsidRDefault="000205EA" w:rsidP="00862EA6"/>
        </w:tc>
        <w:tc>
          <w:tcPr>
            <w:tcW w:w="992" w:type="dxa"/>
            <w:tcBorders>
              <w:top w:val="nil"/>
              <w:left w:val="nil"/>
              <w:bottom w:val="single" w:sz="4" w:space="0" w:color="auto"/>
              <w:right w:val="single" w:sz="4" w:space="0" w:color="auto"/>
            </w:tcBorders>
            <w:shd w:val="clear" w:color="000000" w:fill="FFFFFF"/>
          </w:tcPr>
          <w:p w:rsidR="000205EA" w:rsidRPr="00902095" w:rsidRDefault="000205EA" w:rsidP="00862EA6"/>
        </w:tc>
        <w:tc>
          <w:tcPr>
            <w:tcW w:w="1134" w:type="dxa"/>
            <w:tcBorders>
              <w:top w:val="nil"/>
              <w:left w:val="nil"/>
              <w:bottom w:val="single" w:sz="4" w:space="0" w:color="auto"/>
              <w:right w:val="single" w:sz="4" w:space="0" w:color="auto"/>
            </w:tcBorders>
            <w:shd w:val="clear" w:color="000000" w:fill="FFFFFF"/>
          </w:tcPr>
          <w:p w:rsidR="000205EA" w:rsidRPr="00902095" w:rsidRDefault="000205EA" w:rsidP="00862EA6"/>
        </w:tc>
        <w:tc>
          <w:tcPr>
            <w:tcW w:w="1134" w:type="dxa"/>
            <w:tcBorders>
              <w:top w:val="nil"/>
              <w:left w:val="nil"/>
              <w:bottom w:val="single" w:sz="4" w:space="0" w:color="auto"/>
              <w:right w:val="single" w:sz="4" w:space="0" w:color="auto"/>
            </w:tcBorders>
            <w:shd w:val="clear" w:color="000000" w:fill="FFFFFF"/>
          </w:tcPr>
          <w:p w:rsidR="000205EA" w:rsidRPr="00902095" w:rsidRDefault="000205EA" w:rsidP="00862EA6"/>
        </w:tc>
      </w:tr>
      <w:tr w:rsidR="000205EA" w:rsidRPr="00595928" w:rsidTr="000205EA">
        <w:trPr>
          <w:trHeight w:val="204"/>
        </w:trPr>
        <w:tc>
          <w:tcPr>
            <w:tcW w:w="534" w:type="dxa"/>
            <w:tcBorders>
              <w:top w:val="single" w:sz="4" w:space="0" w:color="auto"/>
              <w:left w:val="single" w:sz="4" w:space="0" w:color="auto"/>
              <w:bottom w:val="single" w:sz="4" w:space="0" w:color="auto"/>
              <w:right w:val="single" w:sz="4" w:space="0" w:color="auto"/>
            </w:tcBorders>
            <w:shd w:val="clear" w:color="000000" w:fill="FFFFFF"/>
          </w:tcPr>
          <w:p w:rsidR="000205EA" w:rsidRPr="003D4150" w:rsidRDefault="000205EA" w:rsidP="000205EA">
            <w:pPr>
              <w:jc w:val="center"/>
            </w:pPr>
            <w:r w:rsidRPr="003D4150">
              <w:t>1</w:t>
            </w:r>
          </w:p>
        </w:tc>
        <w:tc>
          <w:tcPr>
            <w:tcW w:w="2863" w:type="dxa"/>
            <w:tcBorders>
              <w:top w:val="single" w:sz="4" w:space="0" w:color="auto"/>
              <w:left w:val="nil"/>
              <w:bottom w:val="single" w:sz="4" w:space="0" w:color="auto"/>
              <w:right w:val="single" w:sz="4" w:space="0" w:color="auto"/>
            </w:tcBorders>
            <w:shd w:val="clear" w:color="000000" w:fill="FFFFFF"/>
          </w:tcPr>
          <w:p w:rsidR="000205EA" w:rsidRPr="003D4150" w:rsidRDefault="000205EA" w:rsidP="000205EA">
            <w:pPr>
              <w:jc w:val="center"/>
            </w:pPr>
            <w:r w:rsidRPr="003D4150">
              <w:t>2</w:t>
            </w:r>
          </w:p>
        </w:tc>
        <w:tc>
          <w:tcPr>
            <w:tcW w:w="1247" w:type="dxa"/>
            <w:tcBorders>
              <w:top w:val="single" w:sz="4" w:space="0" w:color="auto"/>
              <w:left w:val="nil"/>
              <w:bottom w:val="single" w:sz="4" w:space="0" w:color="auto"/>
              <w:right w:val="single" w:sz="4" w:space="0" w:color="auto"/>
            </w:tcBorders>
            <w:shd w:val="clear" w:color="000000" w:fill="FFFFFF"/>
            <w:noWrap/>
          </w:tcPr>
          <w:p w:rsidR="000205EA" w:rsidRPr="003D4150" w:rsidRDefault="000205EA" w:rsidP="000205EA">
            <w:pPr>
              <w:jc w:val="center"/>
            </w:pPr>
            <w:r w:rsidRPr="003D4150">
              <w:t>3</w:t>
            </w:r>
          </w:p>
        </w:tc>
        <w:tc>
          <w:tcPr>
            <w:tcW w:w="1163" w:type="dxa"/>
            <w:tcBorders>
              <w:top w:val="single" w:sz="4" w:space="0" w:color="auto"/>
              <w:left w:val="nil"/>
              <w:bottom w:val="single" w:sz="4" w:space="0" w:color="auto"/>
              <w:right w:val="single" w:sz="4" w:space="0" w:color="auto"/>
            </w:tcBorders>
            <w:shd w:val="clear" w:color="000000" w:fill="FFFFFF"/>
            <w:noWrap/>
          </w:tcPr>
          <w:p w:rsidR="000205EA" w:rsidRPr="003D4150" w:rsidRDefault="000205EA" w:rsidP="000205EA">
            <w:pPr>
              <w:jc w:val="center"/>
            </w:pPr>
            <w:r w:rsidRPr="003D4150">
              <w:t>4</w:t>
            </w:r>
          </w:p>
        </w:tc>
        <w:tc>
          <w:tcPr>
            <w:tcW w:w="1134" w:type="dxa"/>
            <w:tcBorders>
              <w:top w:val="single" w:sz="4" w:space="0" w:color="auto"/>
              <w:left w:val="nil"/>
              <w:bottom w:val="single" w:sz="4" w:space="0" w:color="auto"/>
              <w:right w:val="single" w:sz="4" w:space="0" w:color="auto"/>
            </w:tcBorders>
            <w:shd w:val="clear" w:color="000000" w:fill="FFFFFF"/>
            <w:noWrap/>
          </w:tcPr>
          <w:p w:rsidR="000205EA" w:rsidRPr="003D4150" w:rsidRDefault="000205EA" w:rsidP="000205EA">
            <w:pPr>
              <w:jc w:val="center"/>
            </w:pPr>
            <w:r w:rsidRPr="003D4150">
              <w:t>5</w:t>
            </w:r>
          </w:p>
        </w:tc>
        <w:tc>
          <w:tcPr>
            <w:tcW w:w="992" w:type="dxa"/>
            <w:tcBorders>
              <w:top w:val="single" w:sz="4" w:space="0" w:color="auto"/>
              <w:left w:val="nil"/>
              <w:bottom w:val="single" w:sz="4" w:space="0" w:color="auto"/>
              <w:right w:val="single" w:sz="4" w:space="0" w:color="auto"/>
            </w:tcBorders>
            <w:shd w:val="clear" w:color="000000" w:fill="FFFFFF"/>
          </w:tcPr>
          <w:p w:rsidR="000205EA" w:rsidRPr="003D4150" w:rsidRDefault="000205EA" w:rsidP="000205EA">
            <w:pPr>
              <w:jc w:val="center"/>
            </w:pPr>
            <w:r w:rsidRPr="003D4150">
              <w:t>6</w:t>
            </w:r>
          </w:p>
        </w:tc>
        <w:tc>
          <w:tcPr>
            <w:tcW w:w="1134" w:type="dxa"/>
            <w:tcBorders>
              <w:top w:val="single" w:sz="4" w:space="0" w:color="auto"/>
              <w:left w:val="nil"/>
              <w:bottom w:val="single" w:sz="4" w:space="0" w:color="auto"/>
              <w:right w:val="single" w:sz="4" w:space="0" w:color="auto"/>
            </w:tcBorders>
            <w:shd w:val="clear" w:color="000000" w:fill="FFFFFF"/>
          </w:tcPr>
          <w:p w:rsidR="000205EA" w:rsidRPr="003D4150" w:rsidRDefault="000205EA" w:rsidP="000205EA">
            <w:pPr>
              <w:jc w:val="center"/>
            </w:pPr>
            <w:r w:rsidRPr="003D4150">
              <w:t>7</w:t>
            </w:r>
          </w:p>
        </w:tc>
        <w:tc>
          <w:tcPr>
            <w:tcW w:w="1134" w:type="dxa"/>
            <w:tcBorders>
              <w:top w:val="single" w:sz="4" w:space="0" w:color="auto"/>
              <w:left w:val="nil"/>
              <w:bottom w:val="single" w:sz="4" w:space="0" w:color="auto"/>
              <w:right w:val="single" w:sz="4" w:space="0" w:color="auto"/>
            </w:tcBorders>
            <w:shd w:val="clear" w:color="000000" w:fill="FFFFFF"/>
          </w:tcPr>
          <w:p w:rsidR="000205EA" w:rsidRDefault="000205EA" w:rsidP="000205EA">
            <w:pPr>
              <w:jc w:val="center"/>
            </w:pPr>
            <w:r w:rsidRPr="003D4150">
              <w:t>8</w:t>
            </w:r>
          </w:p>
        </w:tc>
      </w:tr>
      <w:tr w:rsidR="00862EA6" w:rsidRPr="00595928" w:rsidTr="000205EA">
        <w:trPr>
          <w:trHeight w:val="204"/>
        </w:trPr>
        <w:tc>
          <w:tcPr>
            <w:tcW w:w="534" w:type="dxa"/>
            <w:tcBorders>
              <w:top w:val="single" w:sz="4" w:space="0" w:color="auto"/>
              <w:left w:val="single" w:sz="4" w:space="0" w:color="auto"/>
              <w:bottom w:val="single" w:sz="4" w:space="0" w:color="auto"/>
              <w:right w:val="single" w:sz="4" w:space="0" w:color="auto"/>
            </w:tcBorders>
            <w:shd w:val="clear" w:color="000000" w:fill="FFFFFF"/>
            <w:hideMark/>
          </w:tcPr>
          <w:p w:rsidR="00862EA6" w:rsidRPr="00902095" w:rsidRDefault="00862EA6" w:rsidP="00862EA6">
            <w:r w:rsidRPr="00902095">
              <w:t>1</w:t>
            </w:r>
            <w:r>
              <w:t>4.</w:t>
            </w:r>
          </w:p>
        </w:tc>
        <w:tc>
          <w:tcPr>
            <w:tcW w:w="2863" w:type="dxa"/>
            <w:tcBorders>
              <w:top w:val="single" w:sz="4" w:space="0" w:color="auto"/>
              <w:left w:val="nil"/>
              <w:bottom w:val="single" w:sz="4" w:space="0" w:color="auto"/>
              <w:right w:val="single" w:sz="4" w:space="0" w:color="auto"/>
            </w:tcBorders>
            <w:shd w:val="clear" w:color="000000" w:fill="FFFFFF"/>
            <w:hideMark/>
          </w:tcPr>
          <w:p w:rsidR="00862EA6" w:rsidRPr="00902095" w:rsidRDefault="00862EA6" w:rsidP="00862EA6">
            <w:r w:rsidRPr="00902095">
              <w:t>Vietinė rinkliava (už atliekų tvarkymą)</w:t>
            </w:r>
          </w:p>
        </w:tc>
        <w:tc>
          <w:tcPr>
            <w:tcW w:w="1247" w:type="dxa"/>
            <w:tcBorders>
              <w:top w:val="single" w:sz="4" w:space="0" w:color="auto"/>
              <w:left w:val="nil"/>
              <w:bottom w:val="single" w:sz="4" w:space="0" w:color="auto"/>
              <w:right w:val="single" w:sz="4" w:space="0" w:color="auto"/>
            </w:tcBorders>
            <w:shd w:val="clear" w:color="000000" w:fill="FFFFFF"/>
            <w:noWrap/>
            <w:hideMark/>
          </w:tcPr>
          <w:p w:rsidR="00862EA6" w:rsidRPr="00902095" w:rsidRDefault="00862EA6" w:rsidP="00862EA6">
            <w:r w:rsidRPr="00902095">
              <w:t>1265</w:t>
            </w:r>
          </w:p>
        </w:tc>
        <w:tc>
          <w:tcPr>
            <w:tcW w:w="1163" w:type="dxa"/>
            <w:tcBorders>
              <w:top w:val="single" w:sz="4" w:space="0" w:color="auto"/>
              <w:left w:val="nil"/>
              <w:bottom w:val="single" w:sz="4" w:space="0" w:color="auto"/>
              <w:right w:val="single" w:sz="4" w:space="0" w:color="auto"/>
            </w:tcBorders>
            <w:shd w:val="clear" w:color="000000" w:fill="FFFFFF"/>
            <w:noWrap/>
            <w:hideMark/>
          </w:tcPr>
          <w:p w:rsidR="00862EA6" w:rsidRPr="00902095" w:rsidRDefault="00862EA6" w:rsidP="00862EA6">
            <w:r w:rsidRPr="00902095">
              <w:t>-100</w:t>
            </w:r>
          </w:p>
        </w:tc>
        <w:tc>
          <w:tcPr>
            <w:tcW w:w="1134" w:type="dxa"/>
            <w:tcBorders>
              <w:top w:val="single" w:sz="4" w:space="0" w:color="auto"/>
              <w:left w:val="nil"/>
              <w:bottom w:val="single" w:sz="4" w:space="0" w:color="auto"/>
              <w:right w:val="single" w:sz="4" w:space="0" w:color="auto"/>
            </w:tcBorders>
            <w:shd w:val="clear" w:color="000000" w:fill="FFFFFF"/>
            <w:noWrap/>
            <w:hideMark/>
          </w:tcPr>
          <w:p w:rsidR="00862EA6" w:rsidRPr="00902095" w:rsidRDefault="00862EA6" w:rsidP="00862EA6">
            <w:r w:rsidRPr="00902095">
              <w:t>1165,0</w:t>
            </w:r>
          </w:p>
        </w:tc>
        <w:tc>
          <w:tcPr>
            <w:tcW w:w="992" w:type="dxa"/>
            <w:tcBorders>
              <w:top w:val="single" w:sz="4" w:space="0" w:color="auto"/>
              <w:left w:val="nil"/>
              <w:bottom w:val="single" w:sz="4" w:space="0" w:color="auto"/>
              <w:right w:val="single" w:sz="4" w:space="0" w:color="auto"/>
            </w:tcBorders>
            <w:shd w:val="clear" w:color="000000" w:fill="FFFFFF"/>
            <w:hideMark/>
          </w:tcPr>
          <w:p w:rsidR="00862EA6" w:rsidRPr="00902095" w:rsidRDefault="00862EA6" w:rsidP="00862EA6">
            <w:r w:rsidRPr="00902095">
              <w:t>1065,5</w:t>
            </w:r>
          </w:p>
        </w:tc>
        <w:tc>
          <w:tcPr>
            <w:tcW w:w="1134" w:type="dxa"/>
            <w:tcBorders>
              <w:top w:val="single" w:sz="4" w:space="0" w:color="auto"/>
              <w:left w:val="nil"/>
              <w:bottom w:val="single" w:sz="4" w:space="0" w:color="auto"/>
              <w:right w:val="single" w:sz="4" w:space="0" w:color="auto"/>
            </w:tcBorders>
            <w:shd w:val="clear" w:color="000000" w:fill="FFFFFF"/>
            <w:hideMark/>
          </w:tcPr>
          <w:p w:rsidR="00862EA6" w:rsidRPr="00902095" w:rsidRDefault="00862EA6" w:rsidP="00862EA6">
            <w:r w:rsidRPr="00902095">
              <w:t>-99,5</w:t>
            </w:r>
          </w:p>
        </w:tc>
        <w:tc>
          <w:tcPr>
            <w:tcW w:w="1134" w:type="dxa"/>
            <w:tcBorders>
              <w:top w:val="single" w:sz="4" w:space="0" w:color="auto"/>
              <w:left w:val="nil"/>
              <w:bottom w:val="single" w:sz="4" w:space="0" w:color="auto"/>
              <w:right w:val="single" w:sz="4" w:space="0" w:color="auto"/>
            </w:tcBorders>
            <w:shd w:val="clear" w:color="000000" w:fill="FFFFFF"/>
            <w:hideMark/>
          </w:tcPr>
          <w:p w:rsidR="00862EA6" w:rsidRPr="00902095" w:rsidRDefault="00862EA6" w:rsidP="00862EA6">
            <w:r w:rsidRPr="00902095">
              <w:t>91,5</w:t>
            </w:r>
          </w:p>
        </w:tc>
      </w:tr>
      <w:tr w:rsidR="00862EA6" w:rsidRPr="00595928" w:rsidTr="000205EA">
        <w:trPr>
          <w:trHeight w:val="326"/>
        </w:trPr>
        <w:tc>
          <w:tcPr>
            <w:tcW w:w="534" w:type="dxa"/>
            <w:tcBorders>
              <w:top w:val="nil"/>
              <w:left w:val="single" w:sz="4" w:space="0" w:color="auto"/>
              <w:bottom w:val="single" w:sz="4" w:space="0" w:color="auto"/>
              <w:right w:val="single" w:sz="4" w:space="0" w:color="auto"/>
            </w:tcBorders>
            <w:shd w:val="clear" w:color="000000" w:fill="FFFFFF"/>
            <w:hideMark/>
          </w:tcPr>
          <w:p w:rsidR="00862EA6" w:rsidRPr="00902095" w:rsidRDefault="00862EA6" w:rsidP="00862EA6">
            <w:r w:rsidRPr="00902095">
              <w:t>1</w:t>
            </w:r>
            <w:r>
              <w:t>5.</w:t>
            </w:r>
          </w:p>
        </w:tc>
        <w:tc>
          <w:tcPr>
            <w:tcW w:w="2863" w:type="dxa"/>
            <w:tcBorders>
              <w:top w:val="nil"/>
              <w:left w:val="nil"/>
              <w:bottom w:val="single" w:sz="4" w:space="0" w:color="auto"/>
              <w:right w:val="single" w:sz="4" w:space="0" w:color="auto"/>
            </w:tcBorders>
            <w:shd w:val="clear" w:color="000000" w:fill="FFFFFF"/>
            <w:hideMark/>
          </w:tcPr>
          <w:p w:rsidR="00862EA6" w:rsidRPr="00902095" w:rsidRDefault="00862EA6" w:rsidP="00862EA6">
            <w:r w:rsidRPr="00902095">
              <w:t>Pajamos už ilgalaikio ir trumpalaikio materialiojo turto nuomą</w:t>
            </w:r>
          </w:p>
        </w:tc>
        <w:tc>
          <w:tcPr>
            <w:tcW w:w="1247" w:type="dxa"/>
            <w:tcBorders>
              <w:top w:val="nil"/>
              <w:left w:val="nil"/>
              <w:bottom w:val="single" w:sz="4" w:space="0" w:color="auto"/>
              <w:right w:val="single" w:sz="4" w:space="0" w:color="auto"/>
            </w:tcBorders>
            <w:shd w:val="clear" w:color="000000" w:fill="FFFFFF"/>
            <w:noWrap/>
            <w:hideMark/>
          </w:tcPr>
          <w:p w:rsidR="00862EA6" w:rsidRPr="00902095" w:rsidRDefault="00862EA6" w:rsidP="00862EA6">
            <w:r w:rsidRPr="00902095">
              <w:t>240,5</w:t>
            </w:r>
          </w:p>
        </w:tc>
        <w:tc>
          <w:tcPr>
            <w:tcW w:w="1163" w:type="dxa"/>
            <w:tcBorders>
              <w:top w:val="nil"/>
              <w:left w:val="nil"/>
              <w:bottom w:val="single" w:sz="4" w:space="0" w:color="auto"/>
              <w:right w:val="single" w:sz="4" w:space="0" w:color="auto"/>
            </w:tcBorders>
            <w:shd w:val="clear" w:color="000000" w:fill="FFFFFF"/>
            <w:noWrap/>
            <w:hideMark/>
          </w:tcPr>
          <w:p w:rsidR="00862EA6" w:rsidRPr="00902095" w:rsidRDefault="00862EA6" w:rsidP="00862EA6">
            <w:r w:rsidRPr="00902095">
              <w:t>6,2</w:t>
            </w:r>
          </w:p>
        </w:tc>
        <w:tc>
          <w:tcPr>
            <w:tcW w:w="1134" w:type="dxa"/>
            <w:tcBorders>
              <w:top w:val="nil"/>
              <w:left w:val="nil"/>
              <w:bottom w:val="single" w:sz="4" w:space="0" w:color="auto"/>
              <w:right w:val="single" w:sz="4" w:space="0" w:color="auto"/>
            </w:tcBorders>
            <w:shd w:val="clear" w:color="000000" w:fill="FFFFFF"/>
            <w:noWrap/>
            <w:hideMark/>
          </w:tcPr>
          <w:p w:rsidR="00862EA6" w:rsidRPr="00902095" w:rsidRDefault="00862EA6" w:rsidP="00862EA6">
            <w:r w:rsidRPr="00902095">
              <w:t>246,7</w:t>
            </w:r>
          </w:p>
        </w:tc>
        <w:tc>
          <w:tcPr>
            <w:tcW w:w="992" w:type="dxa"/>
            <w:tcBorders>
              <w:top w:val="nil"/>
              <w:left w:val="nil"/>
              <w:bottom w:val="single" w:sz="4" w:space="0" w:color="auto"/>
              <w:right w:val="single" w:sz="4" w:space="0" w:color="auto"/>
            </w:tcBorders>
            <w:shd w:val="clear" w:color="000000" w:fill="FFFFFF"/>
            <w:hideMark/>
          </w:tcPr>
          <w:p w:rsidR="00862EA6" w:rsidRPr="00902095" w:rsidRDefault="00862EA6" w:rsidP="00862EA6">
            <w:r w:rsidRPr="00902095">
              <w:t>231,3</w:t>
            </w:r>
          </w:p>
        </w:tc>
        <w:tc>
          <w:tcPr>
            <w:tcW w:w="1134" w:type="dxa"/>
            <w:tcBorders>
              <w:top w:val="nil"/>
              <w:left w:val="nil"/>
              <w:bottom w:val="single" w:sz="4" w:space="0" w:color="auto"/>
              <w:right w:val="single" w:sz="4" w:space="0" w:color="auto"/>
            </w:tcBorders>
            <w:shd w:val="clear" w:color="000000" w:fill="FFFFFF"/>
            <w:hideMark/>
          </w:tcPr>
          <w:p w:rsidR="00862EA6" w:rsidRPr="00902095" w:rsidRDefault="00862EA6" w:rsidP="00862EA6">
            <w:r w:rsidRPr="00902095">
              <w:t>-15,4</w:t>
            </w:r>
          </w:p>
        </w:tc>
        <w:tc>
          <w:tcPr>
            <w:tcW w:w="1134" w:type="dxa"/>
            <w:tcBorders>
              <w:top w:val="nil"/>
              <w:left w:val="nil"/>
              <w:bottom w:val="single" w:sz="4" w:space="0" w:color="auto"/>
              <w:right w:val="single" w:sz="4" w:space="0" w:color="auto"/>
            </w:tcBorders>
            <w:shd w:val="clear" w:color="000000" w:fill="FFFFFF"/>
            <w:hideMark/>
          </w:tcPr>
          <w:p w:rsidR="00862EA6" w:rsidRPr="00902095" w:rsidRDefault="00862EA6" w:rsidP="00862EA6">
            <w:r w:rsidRPr="00902095">
              <w:t>93,8</w:t>
            </w:r>
          </w:p>
        </w:tc>
      </w:tr>
      <w:tr w:rsidR="00862EA6" w:rsidRPr="00595928" w:rsidTr="000205EA">
        <w:trPr>
          <w:trHeight w:val="186"/>
        </w:trPr>
        <w:tc>
          <w:tcPr>
            <w:tcW w:w="534" w:type="dxa"/>
            <w:tcBorders>
              <w:top w:val="nil"/>
              <w:left w:val="single" w:sz="4" w:space="0" w:color="auto"/>
              <w:bottom w:val="single" w:sz="4" w:space="0" w:color="auto"/>
              <w:right w:val="single" w:sz="4" w:space="0" w:color="auto"/>
            </w:tcBorders>
            <w:shd w:val="clear" w:color="000000" w:fill="FFFFFF"/>
            <w:hideMark/>
          </w:tcPr>
          <w:p w:rsidR="00862EA6" w:rsidRPr="00902095" w:rsidRDefault="00862EA6" w:rsidP="00862EA6">
            <w:r w:rsidRPr="00902095">
              <w:t>1</w:t>
            </w:r>
            <w:r>
              <w:t>6.</w:t>
            </w:r>
          </w:p>
        </w:tc>
        <w:tc>
          <w:tcPr>
            <w:tcW w:w="2863" w:type="dxa"/>
            <w:tcBorders>
              <w:top w:val="nil"/>
              <w:left w:val="nil"/>
              <w:bottom w:val="single" w:sz="4" w:space="0" w:color="auto"/>
              <w:right w:val="single" w:sz="4" w:space="0" w:color="auto"/>
            </w:tcBorders>
            <w:shd w:val="clear" w:color="000000" w:fill="FFFFFF"/>
            <w:noWrap/>
            <w:hideMark/>
          </w:tcPr>
          <w:p w:rsidR="00862EA6" w:rsidRPr="00902095" w:rsidRDefault="00862EA6" w:rsidP="00862EA6">
            <w:r w:rsidRPr="00902095">
              <w:t>Pajamos už prekes ir paslaugas</w:t>
            </w:r>
          </w:p>
        </w:tc>
        <w:tc>
          <w:tcPr>
            <w:tcW w:w="1247" w:type="dxa"/>
            <w:tcBorders>
              <w:top w:val="nil"/>
              <w:left w:val="nil"/>
              <w:bottom w:val="single" w:sz="4" w:space="0" w:color="auto"/>
              <w:right w:val="single" w:sz="4" w:space="0" w:color="auto"/>
            </w:tcBorders>
            <w:shd w:val="clear" w:color="000000" w:fill="FFFFFF"/>
            <w:noWrap/>
            <w:hideMark/>
          </w:tcPr>
          <w:p w:rsidR="00862EA6" w:rsidRPr="00902095" w:rsidRDefault="00862EA6" w:rsidP="00862EA6">
            <w:r w:rsidRPr="00902095">
              <w:t>167,8</w:t>
            </w:r>
          </w:p>
        </w:tc>
        <w:tc>
          <w:tcPr>
            <w:tcW w:w="1163" w:type="dxa"/>
            <w:tcBorders>
              <w:top w:val="nil"/>
              <w:left w:val="nil"/>
              <w:bottom w:val="single" w:sz="4" w:space="0" w:color="auto"/>
              <w:right w:val="single" w:sz="4" w:space="0" w:color="auto"/>
            </w:tcBorders>
            <w:shd w:val="clear" w:color="000000" w:fill="FFFFFF"/>
            <w:noWrap/>
            <w:hideMark/>
          </w:tcPr>
          <w:p w:rsidR="00862EA6" w:rsidRPr="00902095" w:rsidRDefault="00862EA6" w:rsidP="00862EA6">
            <w:r w:rsidRPr="00902095">
              <w:t>10,6</w:t>
            </w:r>
          </w:p>
        </w:tc>
        <w:tc>
          <w:tcPr>
            <w:tcW w:w="1134" w:type="dxa"/>
            <w:tcBorders>
              <w:top w:val="nil"/>
              <w:left w:val="nil"/>
              <w:bottom w:val="single" w:sz="4" w:space="0" w:color="auto"/>
              <w:right w:val="single" w:sz="4" w:space="0" w:color="auto"/>
            </w:tcBorders>
            <w:shd w:val="clear" w:color="000000" w:fill="FFFFFF"/>
            <w:noWrap/>
            <w:hideMark/>
          </w:tcPr>
          <w:p w:rsidR="00862EA6" w:rsidRPr="00902095" w:rsidRDefault="00862EA6" w:rsidP="00862EA6">
            <w:r w:rsidRPr="00902095">
              <w:t>178,4</w:t>
            </w:r>
          </w:p>
        </w:tc>
        <w:tc>
          <w:tcPr>
            <w:tcW w:w="992" w:type="dxa"/>
            <w:tcBorders>
              <w:top w:val="nil"/>
              <w:left w:val="nil"/>
              <w:bottom w:val="single" w:sz="4" w:space="0" w:color="auto"/>
              <w:right w:val="single" w:sz="4" w:space="0" w:color="auto"/>
            </w:tcBorders>
            <w:shd w:val="clear" w:color="000000" w:fill="FFFFFF"/>
            <w:hideMark/>
          </w:tcPr>
          <w:p w:rsidR="00862EA6" w:rsidRPr="00902095" w:rsidRDefault="00862EA6" w:rsidP="00862EA6">
            <w:r w:rsidRPr="00902095">
              <w:t>154,2</w:t>
            </w:r>
          </w:p>
        </w:tc>
        <w:tc>
          <w:tcPr>
            <w:tcW w:w="1134" w:type="dxa"/>
            <w:tcBorders>
              <w:top w:val="nil"/>
              <w:left w:val="nil"/>
              <w:bottom w:val="single" w:sz="4" w:space="0" w:color="auto"/>
              <w:right w:val="single" w:sz="4" w:space="0" w:color="auto"/>
            </w:tcBorders>
            <w:shd w:val="clear" w:color="000000" w:fill="FFFFFF"/>
            <w:hideMark/>
          </w:tcPr>
          <w:p w:rsidR="00862EA6" w:rsidRPr="00902095" w:rsidRDefault="00862EA6" w:rsidP="00862EA6">
            <w:r w:rsidRPr="00902095">
              <w:t>-24,2</w:t>
            </w:r>
          </w:p>
        </w:tc>
        <w:tc>
          <w:tcPr>
            <w:tcW w:w="1134" w:type="dxa"/>
            <w:tcBorders>
              <w:top w:val="nil"/>
              <w:left w:val="nil"/>
              <w:bottom w:val="single" w:sz="4" w:space="0" w:color="auto"/>
              <w:right w:val="single" w:sz="4" w:space="0" w:color="auto"/>
            </w:tcBorders>
            <w:shd w:val="clear" w:color="000000" w:fill="FFFFFF"/>
            <w:hideMark/>
          </w:tcPr>
          <w:p w:rsidR="00862EA6" w:rsidRPr="00902095" w:rsidRDefault="00862EA6" w:rsidP="00862EA6">
            <w:r w:rsidRPr="00902095">
              <w:t>86,4</w:t>
            </w:r>
          </w:p>
        </w:tc>
      </w:tr>
      <w:tr w:rsidR="00862EA6" w:rsidRPr="00595928" w:rsidTr="000205EA">
        <w:trPr>
          <w:trHeight w:val="204"/>
        </w:trPr>
        <w:tc>
          <w:tcPr>
            <w:tcW w:w="534" w:type="dxa"/>
            <w:tcBorders>
              <w:top w:val="nil"/>
              <w:left w:val="single" w:sz="4" w:space="0" w:color="auto"/>
              <w:bottom w:val="single" w:sz="4" w:space="0" w:color="auto"/>
              <w:right w:val="single" w:sz="4" w:space="0" w:color="auto"/>
            </w:tcBorders>
            <w:shd w:val="clear" w:color="000000" w:fill="FFFFFF"/>
            <w:hideMark/>
          </w:tcPr>
          <w:p w:rsidR="00862EA6" w:rsidRPr="00902095" w:rsidRDefault="00862EA6" w:rsidP="00862EA6">
            <w:r w:rsidRPr="00902095">
              <w:t>1</w:t>
            </w:r>
            <w:r>
              <w:t>7.</w:t>
            </w:r>
          </w:p>
        </w:tc>
        <w:tc>
          <w:tcPr>
            <w:tcW w:w="2863" w:type="dxa"/>
            <w:tcBorders>
              <w:top w:val="nil"/>
              <w:left w:val="nil"/>
              <w:bottom w:val="single" w:sz="4" w:space="0" w:color="auto"/>
              <w:right w:val="single" w:sz="4" w:space="0" w:color="auto"/>
            </w:tcBorders>
            <w:shd w:val="clear" w:color="000000" w:fill="FFFFFF"/>
            <w:hideMark/>
          </w:tcPr>
          <w:p w:rsidR="00862EA6" w:rsidRPr="00902095" w:rsidRDefault="00862EA6" w:rsidP="00862EA6">
            <w:r w:rsidRPr="00902095">
              <w:t>Įmokos už išlaikymą švietimo, soc</w:t>
            </w:r>
            <w:r>
              <w:t>ialinėse</w:t>
            </w:r>
            <w:r w:rsidRPr="00902095">
              <w:t xml:space="preserve"> įstaigose</w:t>
            </w:r>
          </w:p>
        </w:tc>
        <w:tc>
          <w:tcPr>
            <w:tcW w:w="1247" w:type="dxa"/>
            <w:tcBorders>
              <w:top w:val="nil"/>
              <w:left w:val="nil"/>
              <w:bottom w:val="single" w:sz="4" w:space="0" w:color="auto"/>
              <w:right w:val="single" w:sz="4" w:space="0" w:color="auto"/>
            </w:tcBorders>
            <w:shd w:val="clear" w:color="000000" w:fill="FFFFFF"/>
            <w:noWrap/>
            <w:hideMark/>
          </w:tcPr>
          <w:p w:rsidR="00862EA6" w:rsidRPr="00902095" w:rsidRDefault="00862EA6" w:rsidP="00862EA6">
            <w:r w:rsidRPr="00902095">
              <w:t>645,2</w:t>
            </w:r>
          </w:p>
        </w:tc>
        <w:tc>
          <w:tcPr>
            <w:tcW w:w="1163" w:type="dxa"/>
            <w:tcBorders>
              <w:top w:val="nil"/>
              <w:left w:val="nil"/>
              <w:bottom w:val="single" w:sz="4" w:space="0" w:color="auto"/>
              <w:right w:val="single" w:sz="4" w:space="0" w:color="auto"/>
            </w:tcBorders>
            <w:shd w:val="clear" w:color="000000" w:fill="FFFFFF"/>
            <w:noWrap/>
            <w:hideMark/>
          </w:tcPr>
          <w:p w:rsidR="00862EA6" w:rsidRPr="00902095" w:rsidRDefault="00862EA6" w:rsidP="00862EA6">
            <w:r w:rsidRPr="00902095">
              <w:t>-14,4</w:t>
            </w:r>
          </w:p>
        </w:tc>
        <w:tc>
          <w:tcPr>
            <w:tcW w:w="1134" w:type="dxa"/>
            <w:tcBorders>
              <w:top w:val="nil"/>
              <w:left w:val="nil"/>
              <w:bottom w:val="single" w:sz="4" w:space="0" w:color="auto"/>
              <w:right w:val="single" w:sz="4" w:space="0" w:color="auto"/>
            </w:tcBorders>
            <w:shd w:val="clear" w:color="000000" w:fill="FFFFFF"/>
            <w:noWrap/>
            <w:hideMark/>
          </w:tcPr>
          <w:p w:rsidR="00862EA6" w:rsidRPr="00902095" w:rsidRDefault="00862EA6" w:rsidP="00862EA6">
            <w:r w:rsidRPr="00902095">
              <w:t>630,8</w:t>
            </w:r>
          </w:p>
        </w:tc>
        <w:tc>
          <w:tcPr>
            <w:tcW w:w="992" w:type="dxa"/>
            <w:tcBorders>
              <w:top w:val="nil"/>
              <w:left w:val="nil"/>
              <w:bottom w:val="single" w:sz="4" w:space="0" w:color="auto"/>
              <w:right w:val="single" w:sz="4" w:space="0" w:color="auto"/>
            </w:tcBorders>
            <w:shd w:val="clear" w:color="000000" w:fill="FFFFFF"/>
            <w:hideMark/>
          </w:tcPr>
          <w:p w:rsidR="00862EA6" w:rsidRPr="00902095" w:rsidRDefault="00862EA6" w:rsidP="00862EA6">
            <w:r w:rsidRPr="00902095">
              <w:t>608,3</w:t>
            </w:r>
          </w:p>
        </w:tc>
        <w:tc>
          <w:tcPr>
            <w:tcW w:w="1134" w:type="dxa"/>
            <w:tcBorders>
              <w:top w:val="nil"/>
              <w:left w:val="nil"/>
              <w:bottom w:val="single" w:sz="4" w:space="0" w:color="auto"/>
              <w:right w:val="single" w:sz="4" w:space="0" w:color="auto"/>
            </w:tcBorders>
            <w:shd w:val="clear" w:color="000000" w:fill="FFFFFF"/>
            <w:hideMark/>
          </w:tcPr>
          <w:p w:rsidR="00862EA6" w:rsidRPr="00902095" w:rsidRDefault="00862EA6" w:rsidP="00862EA6">
            <w:r w:rsidRPr="00902095">
              <w:t>-22,5</w:t>
            </w:r>
          </w:p>
        </w:tc>
        <w:tc>
          <w:tcPr>
            <w:tcW w:w="1134" w:type="dxa"/>
            <w:tcBorders>
              <w:top w:val="nil"/>
              <w:left w:val="nil"/>
              <w:bottom w:val="single" w:sz="4" w:space="0" w:color="auto"/>
              <w:right w:val="single" w:sz="4" w:space="0" w:color="auto"/>
            </w:tcBorders>
            <w:shd w:val="clear" w:color="000000" w:fill="FFFFFF"/>
            <w:hideMark/>
          </w:tcPr>
          <w:p w:rsidR="00862EA6" w:rsidRPr="00902095" w:rsidRDefault="00862EA6" w:rsidP="00862EA6">
            <w:r w:rsidRPr="00902095">
              <w:t>96,4</w:t>
            </w:r>
          </w:p>
        </w:tc>
      </w:tr>
      <w:tr w:rsidR="00862EA6" w:rsidRPr="00595928" w:rsidTr="000205EA">
        <w:trPr>
          <w:trHeight w:val="186"/>
        </w:trPr>
        <w:tc>
          <w:tcPr>
            <w:tcW w:w="534" w:type="dxa"/>
            <w:tcBorders>
              <w:top w:val="nil"/>
              <w:left w:val="single" w:sz="4" w:space="0" w:color="auto"/>
              <w:bottom w:val="single" w:sz="4" w:space="0" w:color="auto"/>
              <w:right w:val="single" w:sz="4" w:space="0" w:color="auto"/>
            </w:tcBorders>
            <w:shd w:val="clear" w:color="000000" w:fill="FFFFFF"/>
            <w:hideMark/>
          </w:tcPr>
          <w:p w:rsidR="00862EA6" w:rsidRPr="00902095" w:rsidRDefault="00862EA6" w:rsidP="00862EA6">
            <w:r w:rsidRPr="00902095">
              <w:t>1</w:t>
            </w:r>
            <w:r>
              <w:t>8.</w:t>
            </w:r>
          </w:p>
        </w:tc>
        <w:tc>
          <w:tcPr>
            <w:tcW w:w="2863" w:type="dxa"/>
            <w:tcBorders>
              <w:top w:val="nil"/>
              <w:left w:val="nil"/>
              <w:bottom w:val="single" w:sz="4" w:space="0" w:color="auto"/>
              <w:right w:val="single" w:sz="4" w:space="0" w:color="auto"/>
            </w:tcBorders>
            <w:shd w:val="clear" w:color="000000" w:fill="FFFFFF"/>
            <w:hideMark/>
          </w:tcPr>
          <w:p w:rsidR="00862EA6" w:rsidRPr="00902095" w:rsidRDefault="00862EA6" w:rsidP="00862EA6">
            <w:r w:rsidRPr="00902095">
              <w:t>Mokestis už aplinkos teršimą</w:t>
            </w:r>
          </w:p>
        </w:tc>
        <w:tc>
          <w:tcPr>
            <w:tcW w:w="1247" w:type="dxa"/>
            <w:tcBorders>
              <w:top w:val="nil"/>
              <w:left w:val="nil"/>
              <w:bottom w:val="single" w:sz="4" w:space="0" w:color="auto"/>
              <w:right w:val="single" w:sz="4" w:space="0" w:color="auto"/>
            </w:tcBorders>
            <w:shd w:val="clear" w:color="000000" w:fill="FFFFFF"/>
            <w:noWrap/>
            <w:hideMark/>
          </w:tcPr>
          <w:p w:rsidR="00862EA6" w:rsidRPr="00902095" w:rsidRDefault="00862EA6" w:rsidP="00862EA6">
            <w:r w:rsidRPr="00902095">
              <w:t>45</w:t>
            </w:r>
          </w:p>
        </w:tc>
        <w:tc>
          <w:tcPr>
            <w:tcW w:w="1163" w:type="dxa"/>
            <w:tcBorders>
              <w:top w:val="nil"/>
              <w:left w:val="nil"/>
              <w:bottom w:val="single" w:sz="4" w:space="0" w:color="auto"/>
              <w:right w:val="single" w:sz="4" w:space="0" w:color="auto"/>
            </w:tcBorders>
            <w:shd w:val="clear" w:color="000000" w:fill="FFFFFF"/>
            <w:noWrap/>
            <w:hideMark/>
          </w:tcPr>
          <w:p w:rsidR="00862EA6" w:rsidRPr="00902095" w:rsidRDefault="00862EA6" w:rsidP="00862EA6">
            <w:r w:rsidRPr="00902095">
              <w:t>5</w:t>
            </w:r>
          </w:p>
        </w:tc>
        <w:tc>
          <w:tcPr>
            <w:tcW w:w="1134" w:type="dxa"/>
            <w:tcBorders>
              <w:top w:val="nil"/>
              <w:left w:val="nil"/>
              <w:bottom w:val="single" w:sz="4" w:space="0" w:color="auto"/>
              <w:right w:val="single" w:sz="4" w:space="0" w:color="auto"/>
            </w:tcBorders>
            <w:shd w:val="clear" w:color="000000" w:fill="FFFFFF"/>
            <w:noWrap/>
            <w:hideMark/>
          </w:tcPr>
          <w:p w:rsidR="00862EA6" w:rsidRPr="00902095" w:rsidRDefault="00862EA6" w:rsidP="00862EA6">
            <w:r w:rsidRPr="00902095">
              <w:t>50,0</w:t>
            </w:r>
          </w:p>
        </w:tc>
        <w:tc>
          <w:tcPr>
            <w:tcW w:w="992" w:type="dxa"/>
            <w:tcBorders>
              <w:top w:val="nil"/>
              <w:left w:val="nil"/>
              <w:bottom w:val="single" w:sz="4" w:space="0" w:color="auto"/>
              <w:right w:val="single" w:sz="4" w:space="0" w:color="auto"/>
            </w:tcBorders>
            <w:shd w:val="clear" w:color="000000" w:fill="FFFFFF"/>
            <w:hideMark/>
          </w:tcPr>
          <w:p w:rsidR="00862EA6" w:rsidRPr="00902095" w:rsidRDefault="00862EA6" w:rsidP="00862EA6">
            <w:r w:rsidRPr="00902095">
              <w:t>50,9</w:t>
            </w:r>
          </w:p>
        </w:tc>
        <w:tc>
          <w:tcPr>
            <w:tcW w:w="1134" w:type="dxa"/>
            <w:tcBorders>
              <w:top w:val="nil"/>
              <w:left w:val="nil"/>
              <w:bottom w:val="single" w:sz="4" w:space="0" w:color="auto"/>
              <w:right w:val="single" w:sz="4" w:space="0" w:color="auto"/>
            </w:tcBorders>
            <w:shd w:val="clear" w:color="000000" w:fill="FFFFFF"/>
            <w:hideMark/>
          </w:tcPr>
          <w:p w:rsidR="00862EA6" w:rsidRPr="00902095" w:rsidRDefault="00862EA6" w:rsidP="00862EA6">
            <w:r w:rsidRPr="00902095">
              <w:t>0,9</w:t>
            </w:r>
          </w:p>
        </w:tc>
        <w:tc>
          <w:tcPr>
            <w:tcW w:w="1134" w:type="dxa"/>
            <w:tcBorders>
              <w:top w:val="nil"/>
              <w:left w:val="nil"/>
              <w:bottom w:val="single" w:sz="4" w:space="0" w:color="auto"/>
              <w:right w:val="single" w:sz="4" w:space="0" w:color="auto"/>
            </w:tcBorders>
            <w:shd w:val="clear" w:color="000000" w:fill="FFFFFF"/>
            <w:hideMark/>
          </w:tcPr>
          <w:p w:rsidR="00862EA6" w:rsidRPr="00902095" w:rsidRDefault="00862EA6" w:rsidP="00862EA6">
            <w:r w:rsidRPr="00902095">
              <w:t>101,8</w:t>
            </w:r>
          </w:p>
        </w:tc>
      </w:tr>
      <w:tr w:rsidR="00862EA6" w:rsidRPr="00595928" w:rsidTr="000205EA">
        <w:trPr>
          <w:trHeight w:val="186"/>
        </w:trPr>
        <w:tc>
          <w:tcPr>
            <w:tcW w:w="534" w:type="dxa"/>
            <w:tcBorders>
              <w:top w:val="nil"/>
              <w:left w:val="single" w:sz="4" w:space="0" w:color="auto"/>
              <w:bottom w:val="single" w:sz="4" w:space="0" w:color="auto"/>
              <w:right w:val="single" w:sz="4" w:space="0" w:color="auto"/>
            </w:tcBorders>
            <w:shd w:val="clear" w:color="000000" w:fill="FFFFFF"/>
            <w:hideMark/>
          </w:tcPr>
          <w:p w:rsidR="00862EA6" w:rsidRPr="00902095" w:rsidRDefault="00862EA6" w:rsidP="00862EA6">
            <w:r>
              <w:t>19.</w:t>
            </w:r>
          </w:p>
        </w:tc>
        <w:tc>
          <w:tcPr>
            <w:tcW w:w="2863" w:type="dxa"/>
            <w:tcBorders>
              <w:top w:val="nil"/>
              <w:left w:val="nil"/>
              <w:bottom w:val="single" w:sz="4" w:space="0" w:color="auto"/>
              <w:right w:val="single" w:sz="4" w:space="0" w:color="auto"/>
            </w:tcBorders>
            <w:shd w:val="clear" w:color="000000" w:fill="FFFFFF"/>
            <w:hideMark/>
          </w:tcPr>
          <w:p w:rsidR="00862EA6" w:rsidRPr="00902095" w:rsidRDefault="00862EA6" w:rsidP="00862EA6">
            <w:r w:rsidRPr="00902095">
              <w:t>Mok</w:t>
            </w:r>
            <w:r>
              <w:t xml:space="preserve">estis </w:t>
            </w:r>
            <w:r w:rsidRPr="00902095">
              <w:t>už valstyb</w:t>
            </w:r>
            <w:r>
              <w:t>inius</w:t>
            </w:r>
            <w:r w:rsidRPr="00902095">
              <w:t xml:space="preserve"> gamtos išteklius</w:t>
            </w:r>
          </w:p>
        </w:tc>
        <w:tc>
          <w:tcPr>
            <w:tcW w:w="1247" w:type="dxa"/>
            <w:tcBorders>
              <w:top w:val="nil"/>
              <w:left w:val="nil"/>
              <w:bottom w:val="single" w:sz="4" w:space="0" w:color="auto"/>
              <w:right w:val="single" w:sz="4" w:space="0" w:color="auto"/>
            </w:tcBorders>
            <w:shd w:val="clear" w:color="000000" w:fill="FFFFFF"/>
            <w:noWrap/>
            <w:hideMark/>
          </w:tcPr>
          <w:p w:rsidR="00862EA6" w:rsidRPr="00902095" w:rsidRDefault="00862EA6" w:rsidP="00862EA6">
            <w:r w:rsidRPr="00902095">
              <w:t>60</w:t>
            </w:r>
          </w:p>
        </w:tc>
        <w:tc>
          <w:tcPr>
            <w:tcW w:w="1163" w:type="dxa"/>
            <w:tcBorders>
              <w:top w:val="nil"/>
              <w:left w:val="nil"/>
              <w:bottom w:val="single" w:sz="4" w:space="0" w:color="auto"/>
              <w:right w:val="single" w:sz="4" w:space="0" w:color="auto"/>
            </w:tcBorders>
            <w:shd w:val="clear" w:color="000000" w:fill="FFFFFF"/>
            <w:noWrap/>
            <w:hideMark/>
          </w:tcPr>
          <w:p w:rsidR="00862EA6" w:rsidRPr="00902095" w:rsidRDefault="00862EA6" w:rsidP="00862EA6">
            <w:r w:rsidRPr="00902095">
              <w:t>33,5</w:t>
            </w:r>
          </w:p>
        </w:tc>
        <w:tc>
          <w:tcPr>
            <w:tcW w:w="1134" w:type="dxa"/>
            <w:tcBorders>
              <w:top w:val="nil"/>
              <w:left w:val="nil"/>
              <w:bottom w:val="single" w:sz="4" w:space="0" w:color="auto"/>
              <w:right w:val="single" w:sz="4" w:space="0" w:color="auto"/>
            </w:tcBorders>
            <w:shd w:val="clear" w:color="000000" w:fill="FFFFFF"/>
            <w:noWrap/>
            <w:hideMark/>
          </w:tcPr>
          <w:p w:rsidR="00862EA6" w:rsidRPr="00902095" w:rsidRDefault="00862EA6" w:rsidP="00862EA6">
            <w:r w:rsidRPr="00902095">
              <w:t>93,5</w:t>
            </w:r>
          </w:p>
        </w:tc>
        <w:tc>
          <w:tcPr>
            <w:tcW w:w="992" w:type="dxa"/>
            <w:tcBorders>
              <w:top w:val="nil"/>
              <w:left w:val="nil"/>
              <w:bottom w:val="single" w:sz="4" w:space="0" w:color="auto"/>
              <w:right w:val="single" w:sz="4" w:space="0" w:color="auto"/>
            </w:tcBorders>
            <w:shd w:val="clear" w:color="000000" w:fill="FFFFFF"/>
            <w:hideMark/>
          </w:tcPr>
          <w:p w:rsidR="00862EA6" w:rsidRPr="00902095" w:rsidRDefault="00862EA6" w:rsidP="00862EA6">
            <w:r w:rsidRPr="00902095">
              <w:t>110,9</w:t>
            </w:r>
          </w:p>
        </w:tc>
        <w:tc>
          <w:tcPr>
            <w:tcW w:w="1134" w:type="dxa"/>
            <w:tcBorders>
              <w:top w:val="nil"/>
              <w:left w:val="nil"/>
              <w:bottom w:val="single" w:sz="4" w:space="0" w:color="auto"/>
              <w:right w:val="single" w:sz="4" w:space="0" w:color="auto"/>
            </w:tcBorders>
            <w:shd w:val="clear" w:color="000000" w:fill="FFFFFF"/>
            <w:hideMark/>
          </w:tcPr>
          <w:p w:rsidR="00862EA6" w:rsidRPr="00902095" w:rsidRDefault="00862EA6" w:rsidP="00862EA6">
            <w:r w:rsidRPr="00902095">
              <w:t>17,4</w:t>
            </w:r>
          </w:p>
        </w:tc>
        <w:tc>
          <w:tcPr>
            <w:tcW w:w="1134" w:type="dxa"/>
            <w:tcBorders>
              <w:top w:val="nil"/>
              <w:left w:val="nil"/>
              <w:bottom w:val="single" w:sz="4" w:space="0" w:color="auto"/>
              <w:right w:val="single" w:sz="4" w:space="0" w:color="auto"/>
            </w:tcBorders>
            <w:shd w:val="clear" w:color="000000" w:fill="FFFFFF"/>
            <w:hideMark/>
          </w:tcPr>
          <w:p w:rsidR="00862EA6" w:rsidRPr="00902095" w:rsidRDefault="00862EA6" w:rsidP="00862EA6">
            <w:r w:rsidRPr="00902095">
              <w:t>118,6</w:t>
            </w:r>
          </w:p>
        </w:tc>
      </w:tr>
      <w:tr w:rsidR="00862EA6" w:rsidRPr="00595928" w:rsidTr="000205EA">
        <w:trPr>
          <w:trHeight w:val="232"/>
        </w:trPr>
        <w:tc>
          <w:tcPr>
            <w:tcW w:w="534" w:type="dxa"/>
            <w:tcBorders>
              <w:top w:val="nil"/>
              <w:left w:val="single" w:sz="4" w:space="0" w:color="auto"/>
              <w:bottom w:val="single" w:sz="4" w:space="0" w:color="auto"/>
              <w:right w:val="single" w:sz="4" w:space="0" w:color="auto"/>
            </w:tcBorders>
            <w:shd w:val="clear" w:color="000000" w:fill="F2DDDC"/>
            <w:hideMark/>
          </w:tcPr>
          <w:p w:rsidR="00862EA6" w:rsidRPr="00902095" w:rsidRDefault="00862EA6" w:rsidP="00862EA6">
            <w:r w:rsidRPr="00902095">
              <w:t>2</w:t>
            </w:r>
            <w:r>
              <w:t>0</w:t>
            </w:r>
          </w:p>
        </w:tc>
        <w:tc>
          <w:tcPr>
            <w:tcW w:w="2863" w:type="dxa"/>
            <w:tcBorders>
              <w:top w:val="nil"/>
              <w:left w:val="nil"/>
              <w:bottom w:val="single" w:sz="4" w:space="0" w:color="auto"/>
              <w:right w:val="single" w:sz="4" w:space="0" w:color="auto"/>
            </w:tcBorders>
            <w:shd w:val="clear" w:color="000000" w:fill="F2DDDC"/>
            <w:hideMark/>
          </w:tcPr>
          <w:p w:rsidR="00862EA6" w:rsidRPr="00902095" w:rsidRDefault="00862EA6" w:rsidP="00862EA6">
            <w:r w:rsidRPr="00902095">
              <w:t>Specialiosios tikslinės dotacijos</w:t>
            </w:r>
          </w:p>
        </w:tc>
        <w:tc>
          <w:tcPr>
            <w:tcW w:w="1247" w:type="dxa"/>
            <w:tcBorders>
              <w:top w:val="nil"/>
              <w:left w:val="nil"/>
              <w:bottom w:val="single" w:sz="4" w:space="0" w:color="auto"/>
              <w:right w:val="single" w:sz="4" w:space="0" w:color="auto"/>
            </w:tcBorders>
            <w:shd w:val="clear" w:color="000000" w:fill="F2DDDC"/>
            <w:noWrap/>
            <w:hideMark/>
          </w:tcPr>
          <w:p w:rsidR="00862EA6" w:rsidRPr="00902095" w:rsidRDefault="00862EA6" w:rsidP="00862EA6">
            <w:r w:rsidRPr="00902095">
              <w:t>20998,7</w:t>
            </w:r>
          </w:p>
        </w:tc>
        <w:tc>
          <w:tcPr>
            <w:tcW w:w="1163" w:type="dxa"/>
            <w:tcBorders>
              <w:top w:val="nil"/>
              <w:left w:val="nil"/>
              <w:bottom w:val="single" w:sz="4" w:space="0" w:color="auto"/>
              <w:right w:val="single" w:sz="4" w:space="0" w:color="auto"/>
            </w:tcBorders>
            <w:shd w:val="clear" w:color="000000" w:fill="F2DDDC"/>
            <w:noWrap/>
            <w:hideMark/>
          </w:tcPr>
          <w:p w:rsidR="00862EA6" w:rsidRPr="00902095" w:rsidRDefault="00862EA6" w:rsidP="00862EA6">
            <w:r w:rsidRPr="00902095">
              <w:t>7339,2</w:t>
            </w:r>
          </w:p>
        </w:tc>
        <w:tc>
          <w:tcPr>
            <w:tcW w:w="1134" w:type="dxa"/>
            <w:tcBorders>
              <w:top w:val="nil"/>
              <w:left w:val="nil"/>
              <w:bottom w:val="single" w:sz="4" w:space="0" w:color="auto"/>
              <w:right w:val="single" w:sz="4" w:space="0" w:color="auto"/>
            </w:tcBorders>
            <w:shd w:val="clear" w:color="000000" w:fill="F2DDDC"/>
            <w:noWrap/>
            <w:hideMark/>
          </w:tcPr>
          <w:p w:rsidR="00862EA6" w:rsidRPr="00902095" w:rsidRDefault="00862EA6" w:rsidP="00862EA6">
            <w:r w:rsidRPr="00902095">
              <w:t>28337,9</w:t>
            </w:r>
          </w:p>
        </w:tc>
        <w:tc>
          <w:tcPr>
            <w:tcW w:w="992" w:type="dxa"/>
            <w:tcBorders>
              <w:top w:val="nil"/>
              <w:left w:val="nil"/>
              <w:bottom w:val="single" w:sz="4" w:space="0" w:color="auto"/>
              <w:right w:val="single" w:sz="4" w:space="0" w:color="auto"/>
            </w:tcBorders>
            <w:shd w:val="clear" w:color="000000" w:fill="F2DDDC"/>
            <w:noWrap/>
            <w:hideMark/>
          </w:tcPr>
          <w:p w:rsidR="00862EA6" w:rsidRPr="00902095" w:rsidRDefault="00862EA6" w:rsidP="00862EA6">
            <w:r w:rsidRPr="00902095">
              <w:t>27374,3</w:t>
            </w:r>
          </w:p>
        </w:tc>
        <w:tc>
          <w:tcPr>
            <w:tcW w:w="1134" w:type="dxa"/>
            <w:tcBorders>
              <w:top w:val="nil"/>
              <w:left w:val="nil"/>
              <w:bottom w:val="single" w:sz="4" w:space="0" w:color="auto"/>
              <w:right w:val="single" w:sz="4" w:space="0" w:color="auto"/>
            </w:tcBorders>
            <w:shd w:val="clear" w:color="000000" w:fill="F2DDDC"/>
            <w:noWrap/>
            <w:hideMark/>
          </w:tcPr>
          <w:p w:rsidR="00862EA6" w:rsidRPr="00902095" w:rsidRDefault="00862EA6" w:rsidP="00862EA6">
            <w:r>
              <w:t>-963,6</w:t>
            </w:r>
          </w:p>
        </w:tc>
        <w:tc>
          <w:tcPr>
            <w:tcW w:w="1134" w:type="dxa"/>
            <w:tcBorders>
              <w:top w:val="nil"/>
              <w:left w:val="nil"/>
              <w:bottom w:val="single" w:sz="4" w:space="0" w:color="auto"/>
              <w:right w:val="single" w:sz="4" w:space="0" w:color="auto"/>
            </w:tcBorders>
            <w:shd w:val="clear" w:color="000000" w:fill="F2DDDC"/>
            <w:noWrap/>
            <w:hideMark/>
          </w:tcPr>
          <w:p w:rsidR="00862EA6" w:rsidRPr="00902095" w:rsidRDefault="00862EA6" w:rsidP="00862EA6">
            <w:r>
              <w:t>96,6</w:t>
            </w:r>
          </w:p>
        </w:tc>
      </w:tr>
      <w:tr w:rsidR="00862EA6" w:rsidRPr="00595928" w:rsidTr="000205EA">
        <w:trPr>
          <w:trHeight w:val="186"/>
        </w:trPr>
        <w:tc>
          <w:tcPr>
            <w:tcW w:w="534" w:type="dxa"/>
            <w:tcBorders>
              <w:top w:val="nil"/>
              <w:left w:val="single" w:sz="4" w:space="0" w:color="auto"/>
              <w:bottom w:val="single" w:sz="4" w:space="0" w:color="auto"/>
              <w:right w:val="single" w:sz="4" w:space="0" w:color="auto"/>
            </w:tcBorders>
            <w:shd w:val="clear" w:color="auto" w:fill="D99594" w:themeFill="accent2" w:themeFillTint="99"/>
            <w:noWrap/>
            <w:hideMark/>
          </w:tcPr>
          <w:p w:rsidR="00862EA6" w:rsidRPr="00902095" w:rsidRDefault="00862EA6" w:rsidP="00862EA6"/>
        </w:tc>
        <w:tc>
          <w:tcPr>
            <w:tcW w:w="2863" w:type="dxa"/>
            <w:tcBorders>
              <w:top w:val="nil"/>
              <w:left w:val="nil"/>
              <w:bottom w:val="single" w:sz="4" w:space="0" w:color="auto"/>
              <w:right w:val="single" w:sz="4" w:space="0" w:color="auto"/>
            </w:tcBorders>
            <w:shd w:val="clear" w:color="auto" w:fill="D99594" w:themeFill="accent2" w:themeFillTint="99"/>
            <w:noWrap/>
            <w:hideMark/>
          </w:tcPr>
          <w:p w:rsidR="00862EA6" w:rsidRPr="00902095" w:rsidRDefault="00862EA6" w:rsidP="00862EA6">
            <w:r w:rsidRPr="00902095">
              <w:t>IŠ VISO</w:t>
            </w:r>
          </w:p>
        </w:tc>
        <w:tc>
          <w:tcPr>
            <w:tcW w:w="1247" w:type="dxa"/>
            <w:tcBorders>
              <w:top w:val="nil"/>
              <w:left w:val="nil"/>
              <w:bottom w:val="single" w:sz="4" w:space="0" w:color="auto"/>
              <w:right w:val="single" w:sz="4" w:space="0" w:color="auto"/>
            </w:tcBorders>
            <w:shd w:val="clear" w:color="auto" w:fill="D99594" w:themeFill="accent2" w:themeFillTint="99"/>
            <w:noWrap/>
            <w:hideMark/>
          </w:tcPr>
          <w:p w:rsidR="00862EA6" w:rsidRPr="00902095" w:rsidRDefault="00862EA6" w:rsidP="00862EA6">
            <w:r w:rsidRPr="00902095">
              <w:t>43751,2</w:t>
            </w:r>
          </w:p>
        </w:tc>
        <w:tc>
          <w:tcPr>
            <w:tcW w:w="1163" w:type="dxa"/>
            <w:tcBorders>
              <w:top w:val="nil"/>
              <w:left w:val="nil"/>
              <w:bottom w:val="single" w:sz="4" w:space="0" w:color="auto"/>
              <w:right w:val="single" w:sz="4" w:space="0" w:color="auto"/>
            </w:tcBorders>
            <w:shd w:val="clear" w:color="auto" w:fill="D99594" w:themeFill="accent2" w:themeFillTint="99"/>
            <w:noWrap/>
            <w:hideMark/>
          </w:tcPr>
          <w:p w:rsidR="00862EA6" w:rsidRPr="00902095" w:rsidRDefault="00862EA6" w:rsidP="00862EA6">
            <w:r w:rsidRPr="00902095">
              <w:t>9446,3</w:t>
            </w:r>
          </w:p>
        </w:tc>
        <w:tc>
          <w:tcPr>
            <w:tcW w:w="1134" w:type="dxa"/>
            <w:tcBorders>
              <w:top w:val="nil"/>
              <w:left w:val="nil"/>
              <w:bottom w:val="single" w:sz="4" w:space="0" w:color="auto"/>
              <w:right w:val="single" w:sz="4" w:space="0" w:color="auto"/>
            </w:tcBorders>
            <w:shd w:val="clear" w:color="auto" w:fill="D99594" w:themeFill="accent2" w:themeFillTint="99"/>
            <w:noWrap/>
            <w:hideMark/>
          </w:tcPr>
          <w:p w:rsidR="00862EA6" w:rsidRPr="00902095" w:rsidRDefault="00862EA6" w:rsidP="00862EA6">
            <w:r w:rsidRPr="00902095">
              <w:t>53197,5</w:t>
            </w:r>
          </w:p>
        </w:tc>
        <w:tc>
          <w:tcPr>
            <w:tcW w:w="992" w:type="dxa"/>
            <w:tcBorders>
              <w:top w:val="nil"/>
              <w:left w:val="nil"/>
              <w:bottom w:val="single" w:sz="4" w:space="0" w:color="auto"/>
              <w:right w:val="single" w:sz="4" w:space="0" w:color="auto"/>
            </w:tcBorders>
            <w:shd w:val="clear" w:color="auto" w:fill="D99594" w:themeFill="accent2" w:themeFillTint="99"/>
            <w:noWrap/>
            <w:hideMark/>
          </w:tcPr>
          <w:p w:rsidR="00862EA6" w:rsidRPr="00902095" w:rsidRDefault="00862EA6" w:rsidP="00862EA6">
            <w:r w:rsidRPr="00902095">
              <w:t>53336,5</w:t>
            </w:r>
          </w:p>
        </w:tc>
        <w:tc>
          <w:tcPr>
            <w:tcW w:w="1134" w:type="dxa"/>
            <w:tcBorders>
              <w:top w:val="nil"/>
              <w:left w:val="nil"/>
              <w:bottom w:val="single" w:sz="4" w:space="0" w:color="auto"/>
              <w:right w:val="single" w:sz="4" w:space="0" w:color="auto"/>
            </w:tcBorders>
            <w:shd w:val="clear" w:color="auto" w:fill="D99594" w:themeFill="accent2" w:themeFillTint="99"/>
            <w:noWrap/>
            <w:hideMark/>
          </w:tcPr>
          <w:p w:rsidR="00862EA6" w:rsidRPr="00902095" w:rsidRDefault="00862EA6" w:rsidP="00862EA6">
            <w:r w:rsidRPr="00902095">
              <w:t>139,0</w:t>
            </w:r>
          </w:p>
        </w:tc>
        <w:tc>
          <w:tcPr>
            <w:tcW w:w="1134" w:type="dxa"/>
            <w:tcBorders>
              <w:top w:val="nil"/>
              <w:left w:val="nil"/>
              <w:bottom w:val="single" w:sz="4" w:space="0" w:color="auto"/>
              <w:right w:val="single" w:sz="4" w:space="0" w:color="auto"/>
            </w:tcBorders>
            <w:shd w:val="clear" w:color="auto" w:fill="D99594" w:themeFill="accent2" w:themeFillTint="99"/>
            <w:noWrap/>
            <w:hideMark/>
          </w:tcPr>
          <w:p w:rsidR="00862EA6" w:rsidRDefault="00862EA6" w:rsidP="00862EA6">
            <w:r w:rsidRPr="00902095">
              <w:t>100,3</w:t>
            </w:r>
          </w:p>
        </w:tc>
      </w:tr>
    </w:tbl>
    <w:p w:rsidR="00862EA6" w:rsidRDefault="00862EA6" w:rsidP="0012491D">
      <w:pPr>
        <w:jc w:val="both"/>
        <w:rPr>
          <w:sz w:val="24"/>
          <w:szCs w:val="24"/>
        </w:rPr>
      </w:pPr>
    </w:p>
    <w:p w:rsidR="00EB672F" w:rsidRDefault="00EB672F" w:rsidP="0012491D">
      <w:pPr>
        <w:jc w:val="both"/>
        <w:rPr>
          <w:sz w:val="24"/>
          <w:szCs w:val="24"/>
        </w:rPr>
      </w:pPr>
    </w:p>
    <w:p w:rsidR="00F478C0" w:rsidRPr="00B967E9" w:rsidRDefault="00081699" w:rsidP="00701AA5">
      <w:pPr>
        <w:ind w:firstLine="720"/>
        <w:jc w:val="both"/>
        <w:rPr>
          <w:b/>
          <w:sz w:val="24"/>
          <w:szCs w:val="24"/>
        </w:rPr>
      </w:pPr>
      <w:r>
        <w:rPr>
          <w:sz w:val="24"/>
          <w:szCs w:val="24"/>
        </w:rPr>
        <w:t>2021</w:t>
      </w:r>
      <w:r w:rsidR="00BD0223" w:rsidRPr="00B967E9">
        <w:rPr>
          <w:sz w:val="24"/>
          <w:szCs w:val="24"/>
        </w:rPr>
        <w:t xml:space="preserve"> metais surinktų pajamų, mokesčių ir gautų dotacijų struktūra procentais pavaizduota 1 paveiksle.            </w:t>
      </w:r>
    </w:p>
    <w:p w:rsidR="003625BC" w:rsidRDefault="00BD0223" w:rsidP="00701AA5">
      <w:pPr>
        <w:ind w:firstLine="720"/>
        <w:jc w:val="both"/>
        <w:rPr>
          <w:b/>
          <w:sz w:val="24"/>
          <w:szCs w:val="24"/>
        </w:rPr>
      </w:pPr>
      <w:r w:rsidRPr="00B967E9">
        <w:rPr>
          <w:sz w:val="24"/>
          <w:szCs w:val="24"/>
        </w:rPr>
        <w:t>Dotacijų dalis Savivaldybės gautose pajamose</w:t>
      </w:r>
      <w:r w:rsidR="00081699">
        <w:rPr>
          <w:sz w:val="24"/>
          <w:szCs w:val="24"/>
        </w:rPr>
        <w:t xml:space="preserve"> </w:t>
      </w:r>
      <w:r w:rsidRPr="00B967E9">
        <w:rPr>
          <w:sz w:val="24"/>
          <w:szCs w:val="24"/>
        </w:rPr>
        <w:t>2018 metais – 46,2 procento</w:t>
      </w:r>
      <w:r w:rsidR="00081699" w:rsidRPr="00081699">
        <w:t xml:space="preserve"> </w:t>
      </w:r>
      <w:r w:rsidR="00081699" w:rsidRPr="00081699">
        <w:rPr>
          <w:sz w:val="24"/>
          <w:szCs w:val="24"/>
        </w:rPr>
        <w:t>biudžeto pajamų</w:t>
      </w:r>
      <w:r w:rsidRPr="00B967E9">
        <w:rPr>
          <w:sz w:val="24"/>
          <w:szCs w:val="24"/>
        </w:rPr>
        <w:t>, 2019 metais – 47,2 procento, 2020 metais 55,9</w:t>
      </w:r>
      <w:r w:rsidR="00F86DF5">
        <w:rPr>
          <w:sz w:val="24"/>
          <w:szCs w:val="24"/>
        </w:rPr>
        <w:t xml:space="preserve"> </w:t>
      </w:r>
      <w:r w:rsidR="00157A53">
        <w:rPr>
          <w:sz w:val="24"/>
          <w:szCs w:val="24"/>
        </w:rPr>
        <w:t>pr</w:t>
      </w:r>
      <w:r w:rsidR="00F86DF5">
        <w:rPr>
          <w:sz w:val="24"/>
          <w:szCs w:val="24"/>
        </w:rPr>
        <w:t>ocento</w:t>
      </w:r>
      <w:r w:rsidR="00D57603">
        <w:rPr>
          <w:sz w:val="24"/>
          <w:szCs w:val="24"/>
        </w:rPr>
        <w:t>, o</w:t>
      </w:r>
      <w:r w:rsidR="00081699">
        <w:rPr>
          <w:sz w:val="24"/>
          <w:szCs w:val="24"/>
        </w:rPr>
        <w:t xml:space="preserve"> 2021 metais </w:t>
      </w:r>
      <w:r w:rsidR="00D57603">
        <w:rPr>
          <w:sz w:val="24"/>
          <w:szCs w:val="24"/>
        </w:rPr>
        <w:t>– 51.3 procento</w:t>
      </w:r>
      <w:r w:rsidR="00081699">
        <w:rPr>
          <w:sz w:val="24"/>
          <w:szCs w:val="24"/>
        </w:rPr>
        <w:t xml:space="preserve"> </w:t>
      </w:r>
      <w:r w:rsidR="00F86DF5">
        <w:rPr>
          <w:sz w:val="24"/>
          <w:szCs w:val="24"/>
        </w:rPr>
        <w:t>.</w:t>
      </w:r>
      <w:r w:rsidR="00F478C0" w:rsidRPr="00B967E9">
        <w:rPr>
          <w:sz w:val="24"/>
          <w:szCs w:val="24"/>
        </w:rPr>
        <w:t xml:space="preserve"> </w:t>
      </w:r>
      <w:r w:rsidR="00D57603">
        <w:rPr>
          <w:noProof/>
          <w:lang w:eastAsia="lt-LT"/>
        </w:rPr>
        <w:drawing>
          <wp:inline distT="0" distB="0" distL="0" distR="0" wp14:anchorId="1068D3E2" wp14:editId="7A66E936">
            <wp:extent cx="5943600" cy="3796665"/>
            <wp:effectExtent l="323850" t="133350" r="419100" b="584835"/>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D57603" w:rsidRPr="00B967E9">
        <w:rPr>
          <w:noProof/>
          <w:lang w:val="en-US"/>
        </w:rPr>
        <w:t xml:space="preserve"> </w:t>
      </w:r>
    </w:p>
    <w:p w:rsidR="00EE2CD3" w:rsidRPr="00B967E9" w:rsidRDefault="008B08E0" w:rsidP="00DD7F8F">
      <w:pPr>
        <w:jc w:val="center"/>
        <w:rPr>
          <w:sz w:val="24"/>
          <w:szCs w:val="24"/>
        </w:rPr>
      </w:pPr>
      <w:r w:rsidRPr="00B2037C">
        <w:rPr>
          <w:b/>
          <w:sz w:val="24"/>
          <w:szCs w:val="24"/>
        </w:rPr>
        <w:t>1 pav. Plungės ra</w:t>
      </w:r>
      <w:r w:rsidR="00C329F4" w:rsidRPr="00B2037C">
        <w:rPr>
          <w:b/>
          <w:sz w:val="24"/>
          <w:szCs w:val="24"/>
        </w:rPr>
        <w:t>jono savival</w:t>
      </w:r>
      <w:r w:rsidR="00D57603" w:rsidRPr="00B2037C">
        <w:rPr>
          <w:b/>
          <w:sz w:val="24"/>
          <w:szCs w:val="24"/>
        </w:rPr>
        <w:t>dybės 2021</w:t>
      </w:r>
      <w:r w:rsidR="00C329F4" w:rsidRPr="00B2037C">
        <w:rPr>
          <w:b/>
          <w:sz w:val="24"/>
          <w:szCs w:val="24"/>
        </w:rPr>
        <w:t xml:space="preserve"> </w:t>
      </w:r>
      <w:r w:rsidRPr="00B2037C">
        <w:rPr>
          <w:b/>
          <w:sz w:val="24"/>
          <w:szCs w:val="24"/>
        </w:rPr>
        <w:t>metų biudžeto pajamų struktūra</w:t>
      </w:r>
      <w:r w:rsidR="00F65FAF" w:rsidRPr="00B2037C">
        <w:rPr>
          <w:b/>
          <w:sz w:val="24"/>
          <w:szCs w:val="24"/>
        </w:rPr>
        <w:t>, procentais</w:t>
      </w:r>
    </w:p>
    <w:p w:rsidR="00B967E9" w:rsidRPr="00B967E9" w:rsidRDefault="00B967E9" w:rsidP="00C329F4">
      <w:pPr>
        <w:ind w:firstLine="720"/>
        <w:rPr>
          <w:sz w:val="24"/>
          <w:szCs w:val="24"/>
        </w:rPr>
      </w:pPr>
    </w:p>
    <w:p w:rsidR="00B967E9" w:rsidRDefault="008B08E0" w:rsidP="00FA4DF9">
      <w:pPr>
        <w:ind w:firstLine="720"/>
        <w:jc w:val="both"/>
        <w:rPr>
          <w:sz w:val="24"/>
          <w:szCs w:val="24"/>
        </w:rPr>
      </w:pPr>
      <w:r w:rsidRPr="00B967E9">
        <w:rPr>
          <w:sz w:val="24"/>
          <w:szCs w:val="24"/>
        </w:rPr>
        <w:t>2 paveiksle parodyta, kaip keitės</w:t>
      </w:r>
      <w:r w:rsidR="004A5BBD" w:rsidRPr="00B967E9">
        <w:rPr>
          <w:sz w:val="24"/>
          <w:szCs w:val="24"/>
        </w:rPr>
        <w:t>i biudžeto pajamų struktūra</w:t>
      </w:r>
      <w:r w:rsidR="006F6299" w:rsidRPr="00B967E9">
        <w:rPr>
          <w:sz w:val="24"/>
          <w:szCs w:val="24"/>
        </w:rPr>
        <w:t xml:space="preserve"> (mln. eurų)</w:t>
      </w:r>
      <w:r w:rsidR="000C46FA">
        <w:rPr>
          <w:sz w:val="24"/>
          <w:szCs w:val="24"/>
        </w:rPr>
        <w:t xml:space="preserve"> 2017-2021</w:t>
      </w:r>
      <w:r w:rsidRPr="00B967E9">
        <w:rPr>
          <w:sz w:val="24"/>
          <w:szCs w:val="24"/>
        </w:rPr>
        <w:t xml:space="preserve"> metais.</w:t>
      </w:r>
    </w:p>
    <w:p w:rsidR="00561656" w:rsidRDefault="007554FC" w:rsidP="004A5BBD">
      <w:pPr>
        <w:jc w:val="both"/>
        <w:rPr>
          <w:sz w:val="24"/>
          <w:szCs w:val="24"/>
        </w:rPr>
      </w:pPr>
      <w:r>
        <w:rPr>
          <w:noProof/>
          <w:lang w:eastAsia="lt-LT"/>
        </w:rPr>
        <w:lastRenderedPageBreak/>
        <w:drawing>
          <wp:inline distT="0" distB="0" distL="0" distR="0" wp14:anchorId="458072E8" wp14:editId="4B7D3C77">
            <wp:extent cx="6120765" cy="4067175"/>
            <wp:effectExtent l="0" t="0" r="0" b="0"/>
            <wp:docPr id="2" name="Diagrama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B1932" w:rsidRDefault="00FB1932" w:rsidP="001641AE">
      <w:pPr>
        <w:ind w:firstLine="720"/>
        <w:jc w:val="center"/>
        <w:rPr>
          <w:b/>
          <w:sz w:val="24"/>
          <w:szCs w:val="24"/>
        </w:rPr>
      </w:pPr>
    </w:p>
    <w:p w:rsidR="0012491D" w:rsidRDefault="00EF6104" w:rsidP="001641AE">
      <w:pPr>
        <w:ind w:firstLine="720"/>
        <w:jc w:val="center"/>
        <w:rPr>
          <w:b/>
          <w:sz w:val="24"/>
          <w:szCs w:val="24"/>
        </w:rPr>
      </w:pPr>
      <w:r w:rsidRPr="00B967E9">
        <w:rPr>
          <w:b/>
          <w:sz w:val="24"/>
          <w:szCs w:val="24"/>
        </w:rPr>
        <w:t>2</w:t>
      </w:r>
      <w:r w:rsidR="008B08E0" w:rsidRPr="00B967E9">
        <w:rPr>
          <w:b/>
          <w:sz w:val="24"/>
          <w:szCs w:val="24"/>
        </w:rPr>
        <w:t xml:space="preserve"> pav. Biudžeto pajamų struktūra 201</w:t>
      </w:r>
      <w:r w:rsidR="007554FC">
        <w:rPr>
          <w:b/>
          <w:sz w:val="24"/>
          <w:szCs w:val="24"/>
        </w:rPr>
        <w:t>8–2021</w:t>
      </w:r>
      <w:r w:rsidR="00171A48" w:rsidRPr="00B967E9">
        <w:rPr>
          <w:b/>
          <w:sz w:val="24"/>
          <w:szCs w:val="24"/>
        </w:rPr>
        <w:t xml:space="preserve"> </w:t>
      </w:r>
      <w:r w:rsidR="008B08E0" w:rsidRPr="00B967E9">
        <w:rPr>
          <w:b/>
          <w:sz w:val="24"/>
          <w:szCs w:val="24"/>
        </w:rPr>
        <w:t>m., mln. eurų</w:t>
      </w:r>
    </w:p>
    <w:p w:rsidR="00B967E9" w:rsidRDefault="00B967E9" w:rsidP="00FA4DF9">
      <w:pPr>
        <w:ind w:firstLine="720"/>
        <w:jc w:val="both"/>
        <w:rPr>
          <w:sz w:val="24"/>
          <w:szCs w:val="24"/>
          <w:highlight w:val="yellow"/>
        </w:rPr>
      </w:pPr>
    </w:p>
    <w:p w:rsidR="007554FC" w:rsidRDefault="00435CA9" w:rsidP="000326FC">
      <w:pPr>
        <w:ind w:firstLine="720"/>
        <w:jc w:val="both"/>
        <w:rPr>
          <w:sz w:val="24"/>
          <w:szCs w:val="24"/>
        </w:rPr>
      </w:pPr>
      <w:r w:rsidRPr="00B967E9">
        <w:rPr>
          <w:sz w:val="24"/>
          <w:szCs w:val="24"/>
        </w:rPr>
        <w:t>2</w:t>
      </w:r>
      <w:r w:rsidR="00BC3B8D" w:rsidRPr="00B967E9">
        <w:rPr>
          <w:sz w:val="24"/>
          <w:szCs w:val="24"/>
        </w:rPr>
        <w:t xml:space="preserve"> paveiksle mat</w:t>
      </w:r>
      <w:r w:rsidR="00FA4DF9" w:rsidRPr="00B967E9">
        <w:rPr>
          <w:sz w:val="24"/>
          <w:szCs w:val="24"/>
        </w:rPr>
        <w:t>yti,</w:t>
      </w:r>
      <w:r w:rsidR="00BC3B8D" w:rsidRPr="00B967E9">
        <w:rPr>
          <w:sz w:val="24"/>
          <w:szCs w:val="24"/>
        </w:rPr>
        <w:t xml:space="preserve"> kad per </w:t>
      </w:r>
      <w:r w:rsidR="007554FC">
        <w:rPr>
          <w:sz w:val="24"/>
          <w:szCs w:val="24"/>
        </w:rPr>
        <w:t>2018-2021</w:t>
      </w:r>
      <w:r w:rsidR="00BC3B8D" w:rsidRPr="00B967E9">
        <w:rPr>
          <w:sz w:val="24"/>
          <w:szCs w:val="24"/>
        </w:rPr>
        <w:t xml:space="preserve"> metus Savivaldybės biudžeto pajamų dalyje </w:t>
      </w:r>
      <w:r w:rsidR="00BD0223" w:rsidRPr="00B967E9">
        <w:rPr>
          <w:sz w:val="24"/>
          <w:szCs w:val="24"/>
        </w:rPr>
        <w:t>ž</w:t>
      </w:r>
      <w:r w:rsidR="00B617A4">
        <w:rPr>
          <w:sz w:val="24"/>
          <w:szCs w:val="24"/>
        </w:rPr>
        <w:t>ymiai</w:t>
      </w:r>
      <w:r w:rsidR="00BD0223" w:rsidRPr="00B967E9">
        <w:rPr>
          <w:sz w:val="24"/>
          <w:szCs w:val="24"/>
        </w:rPr>
        <w:t xml:space="preserve"> </w:t>
      </w:r>
      <w:r w:rsidR="00BC3B8D" w:rsidRPr="00B967E9">
        <w:rPr>
          <w:sz w:val="24"/>
          <w:szCs w:val="24"/>
        </w:rPr>
        <w:t xml:space="preserve">didėjo </w:t>
      </w:r>
      <w:r w:rsidR="00BD0223" w:rsidRPr="00B967E9">
        <w:rPr>
          <w:sz w:val="24"/>
          <w:szCs w:val="24"/>
        </w:rPr>
        <w:t>dotacijos,</w:t>
      </w:r>
      <w:r w:rsidR="00BD0223" w:rsidRPr="00B967E9">
        <w:t xml:space="preserve"> </w:t>
      </w:r>
      <w:r w:rsidR="00BD0223" w:rsidRPr="00B967E9">
        <w:rPr>
          <w:sz w:val="24"/>
          <w:szCs w:val="24"/>
        </w:rPr>
        <w:t xml:space="preserve">pajamų mokestis </w:t>
      </w:r>
      <w:r w:rsidR="007554FC">
        <w:rPr>
          <w:sz w:val="24"/>
          <w:szCs w:val="24"/>
        </w:rPr>
        <w:t>2021</w:t>
      </w:r>
      <w:r w:rsidR="00BD0223" w:rsidRPr="00B967E9">
        <w:rPr>
          <w:sz w:val="24"/>
          <w:szCs w:val="24"/>
        </w:rPr>
        <w:t xml:space="preserve"> metais </w:t>
      </w:r>
      <w:r w:rsidR="007554FC">
        <w:rPr>
          <w:sz w:val="24"/>
          <w:szCs w:val="24"/>
        </w:rPr>
        <w:t>taip pat didėjo, jeigu lyginsime su ankstesniais metais</w:t>
      </w:r>
      <w:r w:rsidR="00BD0223" w:rsidRPr="00B967E9">
        <w:rPr>
          <w:sz w:val="24"/>
          <w:szCs w:val="24"/>
        </w:rPr>
        <w:t xml:space="preserve">. </w:t>
      </w:r>
    </w:p>
    <w:p w:rsidR="00A270D0" w:rsidRDefault="00F859BD" w:rsidP="00701AA5">
      <w:pPr>
        <w:ind w:firstLine="720"/>
        <w:jc w:val="both"/>
        <w:rPr>
          <w:sz w:val="24"/>
          <w:szCs w:val="24"/>
        </w:rPr>
      </w:pPr>
      <w:r w:rsidRPr="00F859BD">
        <w:rPr>
          <w:sz w:val="24"/>
          <w:szCs w:val="24"/>
        </w:rPr>
        <w:t>2021 metų pradžioje Finansinių rodiklių įstatymu buvo suplanuotas GPM surinkimas apie 19,1 mln. eurų,</w:t>
      </w:r>
      <w:r>
        <w:rPr>
          <w:sz w:val="24"/>
          <w:szCs w:val="24"/>
        </w:rPr>
        <w:t xml:space="preserve"> </w:t>
      </w:r>
      <w:r w:rsidRPr="00F859BD">
        <w:rPr>
          <w:sz w:val="24"/>
          <w:szCs w:val="24"/>
        </w:rPr>
        <w:t>2021 m. birželio 22 d. patikslintas Finansinių rodiklių įstatymas, kuriame jau buvo suplanuota, kad Plungės rajono savival</w:t>
      </w:r>
      <w:r>
        <w:rPr>
          <w:sz w:val="24"/>
          <w:szCs w:val="24"/>
        </w:rPr>
        <w:t xml:space="preserve">dybė GPM surinks 20,7 mln. eurų. Gyventojų pajamų mokesčio per 2022 metus buvo </w:t>
      </w:r>
      <w:r w:rsidRPr="00F859BD">
        <w:rPr>
          <w:sz w:val="24"/>
          <w:szCs w:val="24"/>
        </w:rPr>
        <w:t xml:space="preserve">surinkta 22,2 mln. eurų. </w:t>
      </w:r>
    </w:p>
    <w:p w:rsidR="00A92BB3" w:rsidRDefault="00A270D0" w:rsidP="000326FC">
      <w:pPr>
        <w:ind w:firstLine="720"/>
        <w:jc w:val="both"/>
        <w:rPr>
          <w:sz w:val="24"/>
          <w:szCs w:val="24"/>
        </w:rPr>
      </w:pPr>
      <w:r w:rsidRPr="00A270D0">
        <w:rPr>
          <w:sz w:val="24"/>
          <w:szCs w:val="24"/>
        </w:rPr>
        <w:t xml:space="preserve">GPM 2020 metų pradžioje buvo planuojamas </w:t>
      </w:r>
      <w:r w:rsidR="00F859BD">
        <w:rPr>
          <w:sz w:val="24"/>
          <w:szCs w:val="24"/>
        </w:rPr>
        <w:t>1</w:t>
      </w:r>
      <w:r w:rsidRPr="00A270D0">
        <w:rPr>
          <w:sz w:val="24"/>
          <w:szCs w:val="24"/>
        </w:rPr>
        <w:t>9 mln. eurų, bet surinkta tik 18 mln.</w:t>
      </w:r>
      <w:r w:rsidR="00B2037C">
        <w:rPr>
          <w:sz w:val="24"/>
          <w:szCs w:val="24"/>
        </w:rPr>
        <w:t xml:space="preserve"> eurų.</w:t>
      </w:r>
    </w:p>
    <w:p w:rsidR="00B2037C" w:rsidRDefault="00DE6F15">
      <w:pPr>
        <w:ind w:firstLine="720"/>
        <w:jc w:val="both"/>
        <w:rPr>
          <w:sz w:val="24"/>
          <w:szCs w:val="24"/>
        </w:rPr>
      </w:pPr>
      <w:r w:rsidRPr="00DE6F15">
        <w:rPr>
          <w:sz w:val="24"/>
          <w:szCs w:val="24"/>
        </w:rPr>
        <w:t>Nuo 2017 metų Savivaldybės biudžete apskaitomos Europos Sąjungos finansinės paramos lėšos. 2018 metais buvo planuojama apie 3,7 mln. eurų, planas įvykdytas 3,2 mln. eurų; 2019 metais buvo planuojama apie 4,6 mln. eurų, pl</w:t>
      </w:r>
      <w:r w:rsidR="00B2037C">
        <w:rPr>
          <w:sz w:val="24"/>
          <w:szCs w:val="24"/>
        </w:rPr>
        <w:t xml:space="preserve">anas įvykdytas 4,5 mln. eurų, </w:t>
      </w:r>
      <w:r w:rsidRPr="00DE6F15">
        <w:rPr>
          <w:sz w:val="24"/>
          <w:szCs w:val="24"/>
        </w:rPr>
        <w:t xml:space="preserve">2020 metais ES lėšų planas 4,4 mln. eurų buvo įvykdytas 4,2 mln. eurų, o 2021 metais planas buvo 4,1 mln. eurų, </w:t>
      </w:r>
      <w:r w:rsidR="00B2037C">
        <w:rPr>
          <w:sz w:val="24"/>
          <w:szCs w:val="24"/>
        </w:rPr>
        <w:t xml:space="preserve"> </w:t>
      </w:r>
      <w:r w:rsidRPr="00DE6F15">
        <w:rPr>
          <w:sz w:val="24"/>
          <w:szCs w:val="24"/>
        </w:rPr>
        <w:t>įvykdyta</w:t>
      </w:r>
      <w:r w:rsidR="00B2037C">
        <w:rPr>
          <w:sz w:val="24"/>
          <w:szCs w:val="24"/>
        </w:rPr>
        <w:t>s</w:t>
      </w:r>
      <w:r w:rsidRPr="00DE6F15">
        <w:rPr>
          <w:sz w:val="24"/>
          <w:szCs w:val="24"/>
        </w:rPr>
        <w:t xml:space="preserve"> 3,7 mln. eurų.</w:t>
      </w:r>
      <w:r w:rsidR="000205EA">
        <w:rPr>
          <w:sz w:val="24"/>
          <w:szCs w:val="24"/>
        </w:rPr>
        <w:t xml:space="preserve"> </w:t>
      </w:r>
    </w:p>
    <w:p w:rsidR="001E7335" w:rsidRDefault="001E7335">
      <w:pPr>
        <w:ind w:firstLine="720"/>
        <w:jc w:val="both"/>
        <w:rPr>
          <w:sz w:val="24"/>
          <w:szCs w:val="24"/>
        </w:rPr>
      </w:pPr>
      <w:r w:rsidRPr="001E7335">
        <w:rPr>
          <w:sz w:val="24"/>
          <w:szCs w:val="24"/>
        </w:rPr>
        <w:t>Visų Savivaldybės biudžeto pajamų plano vykdymo dinamika matome 3 paveikslėlyje., kur parodyta</w:t>
      </w:r>
      <w:r w:rsidR="00B2037C">
        <w:rPr>
          <w:sz w:val="24"/>
          <w:szCs w:val="24"/>
        </w:rPr>
        <w:t>,</w:t>
      </w:r>
      <w:r w:rsidRPr="001E7335">
        <w:rPr>
          <w:sz w:val="24"/>
          <w:szCs w:val="24"/>
        </w:rPr>
        <w:t xml:space="preserve"> kaip keitėsi Savivaldybės biudžeto pajamos per pastaruosius 5 metus, t. y. 2017-2021 metais</w:t>
      </w:r>
      <w:r>
        <w:rPr>
          <w:sz w:val="24"/>
          <w:szCs w:val="24"/>
        </w:rPr>
        <w:t>.</w:t>
      </w:r>
    </w:p>
    <w:p w:rsidR="00DE6F15" w:rsidRDefault="0014548F" w:rsidP="001E7335">
      <w:pPr>
        <w:jc w:val="both"/>
        <w:rPr>
          <w:sz w:val="24"/>
          <w:szCs w:val="24"/>
        </w:rPr>
      </w:pPr>
      <w:r>
        <w:rPr>
          <w:noProof/>
          <w:lang w:eastAsia="lt-LT"/>
        </w:rPr>
        <w:lastRenderedPageBreak/>
        <w:drawing>
          <wp:inline distT="0" distB="0" distL="0" distR="0" wp14:anchorId="08B24762" wp14:editId="29D8D3E0">
            <wp:extent cx="6120765" cy="3841750"/>
            <wp:effectExtent l="0" t="0" r="0" b="6350"/>
            <wp:docPr id="15" name="Diagrama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E7335" w:rsidRDefault="001E7335" w:rsidP="00FA4DF9">
      <w:pPr>
        <w:ind w:firstLine="720"/>
        <w:jc w:val="both"/>
        <w:rPr>
          <w:b/>
          <w:sz w:val="24"/>
          <w:szCs w:val="24"/>
        </w:rPr>
      </w:pPr>
    </w:p>
    <w:p w:rsidR="009A221D" w:rsidRPr="009A221D" w:rsidRDefault="009A221D" w:rsidP="00FA4DF9">
      <w:pPr>
        <w:ind w:firstLine="720"/>
        <w:jc w:val="both"/>
        <w:rPr>
          <w:b/>
          <w:sz w:val="24"/>
          <w:szCs w:val="24"/>
        </w:rPr>
      </w:pPr>
      <w:r w:rsidRPr="009A221D">
        <w:rPr>
          <w:b/>
          <w:sz w:val="24"/>
          <w:szCs w:val="24"/>
        </w:rPr>
        <w:t>3 pav. Biudžeto pajamų p</w:t>
      </w:r>
      <w:r>
        <w:rPr>
          <w:b/>
          <w:sz w:val="24"/>
          <w:szCs w:val="24"/>
        </w:rPr>
        <w:t xml:space="preserve">lano ir jo vykdymo dinamika 2017–2021 </w:t>
      </w:r>
      <w:r w:rsidRPr="009A221D">
        <w:rPr>
          <w:b/>
          <w:sz w:val="24"/>
          <w:szCs w:val="24"/>
        </w:rPr>
        <w:t xml:space="preserve">m., mln. eurų  </w:t>
      </w:r>
    </w:p>
    <w:p w:rsidR="0014548F" w:rsidRDefault="0014548F" w:rsidP="00FA4DF9">
      <w:pPr>
        <w:ind w:firstLine="720"/>
        <w:jc w:val="both"/>
        <w:rPr>
          <w:sz w:val="24"/>
          <w:szCs w:val="24"/>
        </w:rPr>
      </w:pPr>
    </w:p>
    <w:p w:rsidR="00B2037C" w:rsidRPr="00B2037C" w:rsidRDefault="00B2037C" w:rsidP="00701AA5">
      <w:pPr>
        <w:tabs>
          <w:tab w:val="left" w:pos="0"/>
        </w:tabs>
        <w:ind w:firstLine="720"/>
        <w:jc w:val="both"/>
        <w:rPr>
          <w:bCs/>
          <w:color w:val="000000"/>
          <w:sz w:val="24"/>
          <w:szCs w:val="24"/>
          <w:shd w:val="clear" w:color="auto" w:fill="FFFFFF"/>
        </w:rPr>
      </w:pPr>
      <w:r w:rsidRPr="00B2037C">
        <w:rPr>
          <w:bCs/>
          <w:color w:val="000000"/>
          <w:sz w:val="24"/>
          <w:szCs w:val="24"/>
          <w:shd w:val="clear" w:color="auto" w:fill="FFFFFF"/>
        </w:rPr>
        <w:t>Dėl 2021 metais dėl Savivaldybės tarybos sprendimais juridiniams ir fiziniams asmenims suteiktų mokesčių lengvatų į Savivaldybės biudžetą negauta 71,7 tūkst. eurų pajamų.</w:t>
      </w:r>
    </w:p>
    <w:p w:rsidR="00B2037C" w:rsidRDefault="00B2037C" w:rsidP="00701AA5">
      <w:pPr>
        <w:tabs>
          <w:tab w:val="left" w:pos="0"/>
        </w:tabs>
        <w:ind w:firstLine="720"/>
        <w:jc w:val="both"/>
        <w:rPr>
          <w:color w:val="000000"/>
          <w:sz w:val="24"/>
          <w:szCs w:val="24"/>
          <w:shd w:val="clear" w:color="auto" w:fill="FFFFFF"/>
        </w:rPr>
      </w:pPr>
      <w:r w:rsidRPr="00B2037C">
        <w:rPr>
          <w:bCs/>
          <w:color w:val="000000"/>
          <w:sz w:val="24"/>
          <w:szCs w:val="24"/>
          <w:shd w:val="clear" w:color="auto" w:fill="FFFFFF"/>
        </w:rPr>
        <w:t>Suteiktų mokesčių lengvatų suma pagal pajamų rūšis parodyta 2 lentelėje.</w:t>
      </w:r>
      <w:r w:rsidRPr="00B2037C">
        <w:rPr>
          <w:color w:val="000000"/>
          <w:sz w:val="24"/>
          <w:szCs w:val="24"/>
          <w:shd w:val="clear" w:color="auto" w:fill="FFFFFF"/>
        </w:rPr>
        <w:t xml:space="preserve">     </w:t>
      </w:r>
    </w:p>
    <w:p w:rsidR="00B2037C" w:rsidRPr="00B2037C" w:rsidRDefault="00B2037C" w:rsidP="00B2037C">
      <w:pPr>
        <w:tabs>
          <w:tab w:val="left" w:pos="0"/>
        </w:tabs>
        <w:jc w:val="both"/>
        <w:rPr>
          <w:color w:val="000000"/>
          <w:sz w:val="24"/>
          <w:szCs w:val="24"/>
          <w:shd w:val="clear" w:color="auto" w:fill="FFFFFF"/>
        </w:rPr>
      </w:pPr>
      <w:r w:rsidRPr="00B2037C">
        <w:rPr>
          <w:color w:val="000000"/>
          <w:sz w:val="24"/>
          <w:szCs w:val="24"/>
          <w:shd w:val="clear" w:color="auto" w:fill="FFFFFF"/>
        </w:rPr>
        <w:t xml:space="preserve">                                              </w:t>
      </w:r>
    </w:p>
    <w:p w:rsidR="00B2037C" w:rsidRPr="00B2037C" w:rsidRDefault="009752D7" w:rsidP="00B2037C">
      <w:pPr>
        <w:tabs>
          <w:tab w:val="left" w:pos="0"/>
        </w:tabs>
        <w:jc w:val="center"/>
        <w:rPr>
          <w:b/>
          <w:bCs/>
          <w:color w:val="000000"/>
          <w:sz w:val="24"/>
          <w:szCs w:val="24"/>
          <w:shd w:val="clear" w:color="auto" w:fill="FFFFFF"/>
        </w:rPr>
      </w:pPr>
      <w:r>
        <w:rPr>
          <w:b/>
          <w:bCs/>
          <w:color w:val="000000"/>
          <w:sz w:val="24"/>
          <w:szCs w:val="24"/>
          <w:shd w:val="clear" w:color="auto" w:fill="FFFFFF"/>
        </w:rPr>
        <w:t>2 lentelė. 2021</w:t>
      </w:r>
      <w:r w:rsidR="00B2037C" w:rsidRPr="00B2037C">
        <w:rPr>
          <w:b/>
          <w:bCs/>
          <w:color w:val="000000"/>
          <w:sz w:val="24"/>
          <w:szCs w:val="24"/>
          <w:shd w:val="clear" w:color="auto" w:fill="FFFFFF"/>
        </w:rPr>
        <w:t xml:space="preserve"> metais Savivaldybės suteiktos lengvatos</w:t>
      </w:r>
    </w:p>
    <w:p w:rsidR="00B2037C" w:rsidRPr="00B2037C" w:rsidRDefault="00B2037C" w:rsidP="00B2037C">
      <w:pPr>
        <w:tabs>
          <w:tab w:val="left" w:pos="0"/>
        </w:tabs>
        <w:jc w:val="center"/>
        <w:rPr>
          <w:b/>
          <w:bCs/>
          <w:color w:val="000000"/>
          <w:sz w:val="24"/>
          <w:szCs w:val="24"/>
          <w:shd w:val="clear" w:color="auto" w:fill="FFFFFF"/>
        </w:rPr>
      </w:pPr>
    </w:p>
    <w:tbl>
      <w:tblPr>
        <w:tblW w:w="9796" w:type="dxa"/>
        <w:tblInd w:w="93" w:type="dxa"/>
        <w:tblLook w:val="04A0" w:firstRow="1" w:lastRow="0" w:firstColumn="1" w:lastColumn="0" w:noHBand="0" w:noVBand="1"/>
      </w:tblPr>
      <w:tblGrid>
        <w:gridCol w:w="3002"/>
        <w:gridCol w:w="1936"/>
        <w:gridCol w:w="2052"/>
        <w:gridCol w:w="2806"/>
      </w:tblGrid>
      <w:tr w:rsidR="009752D7" w:rsidRPr="00B2037C" w:rsidTr="009752D7">
        <w:trPr>
          <w:trHeight w:val="161"/>
        </w:trPr>
        <w:tc>
          <w:tcPr>
            <w:tcW w:w="3002" w:type="dxa"/>
            <w:tcBorders>
              <w:top w:val="single" w:sz="4" w:space="0" w:color="auto"/>
              <w:left w:val="single" w:sz="4" w:space="0" w:color="auto"/>
              <w:right w:val="single" w:sz="4" w:space="0" w:color="auto"/>
            </w:tcBorders>
            <w:shd w:val="clear" w:color="auto" w:fill="auto"/>
            <w:noWrap/>
            <w:hideMark/>
          </w:tcPr>
          <w:p w:rsidR="009752D7" w:rsidRPr="009752D7" w:rsidRDefault="009752D7" w:rsidP="009752D7">
            <w:pPr>
              <w:jc w:val="center"/>
              <w:rPr>
                <w:sz w:val="24"/>
                <w:szCs w:val="24"/>
              </w:rPr>
            </w:pPr>
            <w:r w:rsidRPr="009752D7">
              <w:rPr>
                <w:sz w:val="24"/>
                <w:szCs w:val="24"/>
              </w:rPr>
              <w:t>Suteiktos lengvatos pagal pajamų rūšis</w:t>
            </w:r>
          </w:p>
        </w:tc>
        <w:tc>
          <w:tcPr>
            <w:tcW w:w="193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52D7" w:rsidRPr="00B2037C" w:rsidRDefault="009752D7" w:rsidP="009752D7">
            <w:pPr>
              <w:tabs>
                <w:tab w:val="left" w:pos="0"/>
              </w:tabs>
              <w:jc w:val="center"/>
              <w:rPr>
                <w:color w:val="000000"/>
                <w:sz w:val="24"/>
                <w:szCs w:val="24"/>
                <w:shd w:val="clear" w:color="auto" w:fill="FFFFFF"/>
              </w:rPr>
            </w:pPr>
            <w:r w:rsidRPr="00B2037C">
              <w:rPr>
                <w:color w:val="000000"/>
                <w:sz w:val="24"/>
                <w:szCs w:val="24"/>
                <w:shd w:val="clear" w:color="auto" w:fill="FFFFFF"/>
              </w:rPr>
              <w:t>Savivaldybės tarybos sprendimais</w:t>
            </w:r>
          </w:p>
        </w:tc>
        <w:tc>
          <w:tcPr>
            <w:tcW w:w="2052" w:type="dxa"/>
            <w:tcBorders>
              <w:top w:val="single" w:sz="4" w:space="0" w:color="auto"/>
              <w:left w:val="nil"/>
              <w:bottom w:val="single" w:sz="4" w:space="0" w:color="auto"/>
              <w:right w:val="single" w:sz="4" w:space="0" w:color="auto"/>
            </w:tcBorders>
            <w:shd w:val="clear" w:color="auto" w:fill="auto"/>
            <w:vAlign w:val="bottom"/>
            <w:hideMark/>
          </w:tcPr>
          <w:p w:rsidR="009752D7" w:rsidRPr="00B2037C" w:rsidRDefault="009752D7" w:rsidP="009752D7">
            <w:pPr>
              <w:tabs>
                <w:tab w:val="left" w:pos="0"/>
              </w:tabs>
              <w:jc w:val="center"/>
              <w:rPr>
                <w:color w:val="000000"/>
                <w:sz w:val="24"/>
                <w:szCs w:val="24"/>
                <w:shd w:val="clear" w:color="auto" w:fill="FFFFFF"/>
              </w:rPr>
            </w:pPr>
            <w:r w:rsidRPr="00B2037C">
              <w:rPr>
                <w:color w:val="000000"/>
                <w:sz w:val="24"/>
                <w:szCs w:val="24"/>
                <w:shd w:val="clear" w:color="auto" w:fill="FFFFFF"/>
              </w:rPr>
              <w:t>Įstatymu / Vyriausybės nutarimu</w:t>
            </w:r>
          </w:p>
        </w:tc>
        <w:tc>
          <w:tcPr>
            <w:tcW w:w="2806" w:type="dxa"/>
            <w:tcBorders>
              <w:top w:val="single" w:sz="4" w:space="0" w:color="auto"/>
              <w:left w:val="nil"/>
              <w:bottom w:val="single" w:sz="4" w:space="0" w:color="auto"/>
              <w:right w:val="single" w:sz="4" w:space="0" w:color="auto"/>
            </w:tcBorders>
            <w:shd w:val="clear" w:color="auto" w:fill="auto"/>
            <w:vAlign w:val="bottom"/>
            <w:hideMark/>
          </w:tcPr>
          <w:p w:rsidR="009752D7" w:rsidRPr="00B2037C" w:rsidRDefault="009752D7" w:rsidP="009752D7">
            <w:pPr>
              <w:tabs>
                <w:tab w:val="left" w:pos="0"/>
              </w:tabs>
              <w:jc w:val="center"/>
              <w:rPr>
                <w:color w:val="000000"/>
                <w:sz w:val="24"/>
                <w:szCs w:val="24"/>
                <w:shd w:val="clear" w:color="auto" w:fill="FFFFFF"/>
              </w:rPr>
            </w:pPr>
            <w:r w:rsidRPr="00B2037C">
              <w:rPr>
                <w:color w:val="000000"/>
                <w:sz w:val="24"/>
                <w:szCs w:val="24"/>
                <w:shd w:val="clear" w:color="auto" w:fill="FFFFFF"/>
              </w:rPr>
              <w:t>Iš viso</w:t>
            </w:r>
          </w:p>
        </w:tc>
      </w:tr>
      <w:tr w:rsidR="009752D7" w:rsidRPr="00B2037C" w:rsidTr="009752D7">
        <w:trPr>
          <w:trHeight w:val="54"/>
        </w:trPr>
        <w:tc>
          <w:tcPr>
            <w:tcW w:w="3002" w:type="dxa"/>
            <w:tcBorders>
              <w:left w:val="single" w:sz="4" w:space="0" w:color="auto"/>
              <w:bottom w:val="single" w:sz="4" w:space="0" w:color="auto"/>
              <w:right w:val="single" w:sz="4" w:space="0" w:color="auto"/>
            </w:tcBorders>
            <w:shd w:val="clear" w:color="auto" w:fill="auto"/>
            <w:noWrap/>
          </w:tcPr>
          <w:p w:rsidR="009752D7" w:rsidRPr="003256F2" w:rsidRDefault="009752D7" w:rsidP="009752D7"/>
        </w:tc>
        <w:tc>
          <w:tcPr>
            <w:tcW w:w="1936" w:type="dxa"/>
            <w:tcBorders>
              <w:top w:val="single" w:sz="4" w:space="0" w:color="auto"/>
              <w:left w:val="single" w:sz="4" w:space="0" w:color="auto"/>
              <w:bottom w:val="single" w:sz="4" w:space="0" w:color="auto"/>
            </w:tcBorders>
            <w:shd w:val="clear" w:color="auto" w:fill="auto"/>
            <w:vAlign w:val="bottom"/>
          </w:tcPr>
          <w:p w:rsidR="009752D7" w:rsidRPr="00B2037C" w:rsidRDefault="009752D7" w:rsidP="009752D7">
            <w:pPr>
              <w:tabs>
                <w:tab w:val="left" w:pos="0"/>
              </w:tabs>
              <w:jc w:val="center"/>
              <w:rPr>
                <w:color w:val="000000"/>
                <w:sz w:val="24"/>
                <w:szCs w:val="24"/>
                <w:shd w:val="clear" w:color="auto" w:fill="FFFFFF"/>
              </w:rPr>
            </w:pPr>
          </w:p>
        </w:tc>
        <w:tc>
          <w:tcPr>
            <w:tcW w:w="2052" w:type="dxa"/>
            <w:tcBorders>
              <w:top w:val="single" w:sz="4" w:space="0" w:color="auto"/>
              <w:bottom w:val="single" w:sz="4" w:space="0" w:color="auto"/>
            </w:tcBorders>
            <w:shd w:val="clear" w:color="auto" w:fill="auto"/>
            <w:vAlign w:val="bottom"/>
          </w:tcPr>
          <w:p w:rsidR="009752D7" w:rsidRPr="00B2037C" w:rsidRDefault="009752D7" w:rsidP="009752D7">
            <w:pPr>
              <w:tabs>
                <w:tab w:val="left" w:pos="0"/>
              </w:tabs>
              <w:jc w:val="center"/>
              <w:rPr>
                <w:color w:val="000000"/>
                <w:sz w:val="24"/>
                <w:szCs w:val="24"/>
                <w:shd w:val="clear" w:color="auto" w:fill="FFFFFF"/>
              </w:rPr>
            </w:pPr>
            <w:r w:rsidRPr="009752D7">
              <w:rPr>
                <w:color w:val="000000"/>
                <w:sz w:val="24"/>
                <w:szCs w:val="24"/>
                <w:shd w:val="clear" w:color="auto" w:fill="FFFFFF"/>
              </w:rPr>
              <w:t>tūkst. eurų</w:t>
            </w:r>
          </w:p>
        </w:tc>
        <w:tc>
          <w:tcPr>
            <w:tcW w:w="2806" w:type="dxa"/>
            <w:tcBorders>
              <w:top w:val="single" w:sz="4" w:space="0" w:color="auto"/>
              <w:bottom w:val="single" w:sz="4" w:space="0" w:color="auto"/>
              <w:right w:val="single" w:sz="4" w:space="0" w:color="auto"/>
            </w:tcBorders>
            <w:shd w:val="clear" w:color="auto" w:fill="auto"/>
            <w:vAlign w:val="bottom"/>
          </w:tcPr>
          <w:p w:rsidR="009752D7" w:rsidRPr="00B2037C" w:rsidRDefault="009752D7" w:rsidP="009752D7">
            <w:pPr>
              <w:tabs>
                <w:tab w:val="left" w:pos="0"/>
              </w:tabs>
              <w:jc w:val="center"/>
              <w:rPr>
                <w:color w:val="000000"/>
                <w:sz w:val="24"/>
                <w:szCs w:val="24"/>
                <w:shd w:val="clear" w:color="auto" w:fill="FFFFFF"/>
              </w:rPr>
            </w:pPr>
          </w:p>
        </w:tc>
      </w:tr>
      <w:tr w:rsidR="00B2037C" w:rsidRPr="00B2037C" w:rsidTr="009752D7">
        <w:trPr>
          <w:trHeight w:val="54"/>
        </w:trPr>
        <w:tc>
          <w:tcPr>
            <w:tcW w:w="30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2037C" w:rsidRPr="00B2037C" w:rsidRDefault="00B2037C" w:rsidP="00B2037C">
            <w:pPr>
              <w:tabs>
                <w:tab w:val="left" w:pos="0"/>
              </w:tabs>
              <w:jc w:val="both"/>
              <w:rPr>
                <w:color w:val="000000"/>
                <w:sz w:val="24"/>
                <w:szCs w:val="24"/>
                <w:shd w:val="clear" w:color="auto" w:fill="FFFFFF"/>
              </w:rPr>
            </w:pPr>
            <w:r w:rsidRPr="00B2037C">
              <w:rPr>
                <w:color w:val="000000"/>
                <w:sz w:val="24"/>
                <w:szCs w:val="24"/>
                <w:shd w:val="clear" w:color="auto" w:fill="FFFFFF"/>
              </w:rPr>
              <w:t>Žemės mokesčio</w:t>
            </w:r>
          </w:p>
        </w:tc>
        <w:tc>
          <w:tcPr>
            <w:tcW w:w="1936" w:type="dxa"/>
            <w:tcBorders>
              <w:top w:val="single" w:sz="4" w:space="0" w:color="auto"/>
              <w:left w:val="nil"/>
              <w:bottom w:val="single" w:sz="4" w:space="0" w:color="auto"/>
              <w:right w:val="single" w:sz="4" w:space="0" w:color="auto"/>
            </w:tcBorders>
            <w:shd w:val="clear" w:color="auto" w:fill="auto"/>
            <w:vAlign w:val="bottom"/>
            <w:hideMark/>
          </w:tcPr>
          <w:p w:rsidR="00B2037C" w:rsidRPr="00B2037C" w:rsidRDefault="00B2037C" w:rsidP="00B2037C">
            <w:pPr>
              <w:tabs>
                <w:tab w:val="left" w:pos="0"/>
              </w:tabs>
              <w:jc w:val="both"/>
              <w:rPr>
                <w:color w:val="000000"/>
                <w:sz w:val="24"/>
                <w:szCs w:val="24"/>
                <w:shd w:val="clear" w:color="auto" w:fill="FFFFFF"/>
              </w:rPr>
            </w:pPr>
            <w:r w:rsidRPr="00B2037C">
              <w:rPr>
                <w:color w:val="000000"/>
                <w:sz w:val="24"/>
                <w:szCs w:val="24"/>
                <w:shd w:val="clear" w:color="auto" w:fill="FFFFFF"/>
              </w:rPr>
              <w:t>0</w:t>
            </w:r>
          </w:p>
        </w:tc>
        <w:tc>
          <w:tcPr>
            <w:tcW w:w="2052" w:type="dxa"/>
            <w:tcBorders>
              <w:top w:val="single" w:sz="4" w:space="0" w:color="auto"/>
              <w:left w:val="nil"/>
              <w:bottom w:val="single" w:sz="4" w:space="0" w:color="auto"/>
              <w:right w:val="single" w:sz="4" w:space="0" w:color="auto"/>
            </w:tcBorders>
            <w:shd w:val="clear" w:color="auto" w:fill="auto"/>
            <w:vAlign w:val="bottom"/>
            <w:hideMark/>
          </w:tcPr>
          <w:p w:rsidR="00B2037C" w:rsidRPr="00B2037C" w:rsidRDefault="00B2037C" w:rsidP="00B2037C">
            <w:pPr>
              <w:tabs>
                <w:tab w:val="left" w:pos="0"/>
              </w:tabs>
              <w:jc w:val="both"/>
              <w:rPr>
                <w:color w:val="000000"/>
                <w:sz w:val="24"/>
                <w:szCs w:val="24"/>
                <w:shd w:val="clear" w:color="auto" w:fill="FFFFFF"/>
              </w:rPr>
            </w:pPr>
            <w:r w:rsidRPr="00B2037C">
              <w:rPr>
                <w:color w:val="000000"/>
                <w:sz w:val="24"/>
                <w:szCs w:val="24"/>
                <w:shd w:val="clear" w:color="auto" w:fill="FFFFFF"/>
              </w:rPr>
              <w:t>45,9</w:t>
            </w:r>
          </w:p>
        </w:tc>
        <w:tc>
          <w:tcPr>
            <w:tcW w:w="2806" w:type="dxa"/>
            <w:tcBorders>
              <w:top w:val="single" w:sz="4" w:space="0" w:color="auto"/>
              <w:left w:val="nil"/>
              <w:bottom w:val="single" w:sz="4" w:space="0" w:color="auto"/>
              <w:right w:val="single" w:sz="4" w:space="0" w:color="auto"/>
            </w:tcBorders>
            <w:shd w:val="clear" w:color="auto" w:fill="auto"/>
            <w:vAlign w:val="bottom"/>
            <w:hideMark/>
          </w:tcPr>
          <w:p w:rsidR="00B2037C" w:rsidRPr="00B2037C" w:rsidRDefault="00B2037C" w:rsidP="00B2037C">
            <w:pPr>
              <w:tabs>
                <w:tab w:val="left" w:pos="0"/>
              </w:tabs>
              <w:jc w:val="both"/>
              <w:rPr>
                <w:color w:val="000000"/>
                <w:sz w:val="24"/>
                <w:szCs w:val="24"/>
                <w:shd w:val="clear" w:color="auto" w:fill="FFFFFF"/>
              </w:rPr>
            </w:pPr>
            <w:r w:rsidRPr="00B2037C">
              <w:rPr>
                <w:color w:val="000000"/>
                <w:sz w:val="24"/>
                <w:szCs w:val="24"/>
                <w:shd w:val="clear" w:color="auto" w:fill="FFFFFF"/>
              </w:rPr>
              <w:t>45,9</w:t>
            </w:r>
          </w:p>
        </w:tc>
      </w:tr>
      <w:tr w:rsidR="00B2037C" w:rsidRPr="00B2037C" w:rsidTr="00B2037C">
        <w:trPr>
          <w:trHeight w:val="54"/>
        </w:trPr>
        <w:tc>
          <w:tcPr>
            <w:tcW w:w="3002" w:type="dxa"/>
            <w:tcBorders>
              <w:top w:val="nil"/>
              <w:left w:val="single" w:sz="4" w:space="0" w:color="auto"/>
              <w:bottom w:val="single" w:sz="4" w:space="0" w:color="auto"/>
              <w:right w:val="single" w:sz="4" w:space="0" w:color="auto"/>
            </w:tcBorders>
            <w:shd w:val="clear" w:color="auto" w:fill="auto"/>
            <w:noWrap/>
            <w:vAlign w:val="bottom"/>
            <w:hideMark/>
          </w:tcPr>
          <w:p w:rsidR="00B2037C" w:rsidRPr="00B2037C" w:rsidRDefault="00B2037C" w:rsidP="00B2037C">
            <w:pPr>
              <w:tabs>
                <w:tab w:val="left" w:pos="0"/>
              </w:tabs>
              <w:jc w:val="both"/>
              <w:rPr>
                <w:color w:val="000000"/>
                <w:sz w:val="24"/>
                <w:szCs w:val="24"/>
                <w:shd w:val="clear" w:color="auto" w:fill="FFFFFF"/>
              </w:rPr>
            </w:pPr>
            <w:r w:rsidRPr="00B2037C">
              <w:rPr>
                <w:color w:val="000000"/>
                <w:sz w:val="24"/>
                <w:szCs w:val="24"/>
                <w:shd w:val="clear" w:color="auto" w:fill="FFFFFF"/>
              </w:rPr>
              <w:t>Žemės nuomos mokesčio</w:t>
            </w:r>
          </w:p>
        </w:tc>
        <w:tc>
          <w:tcPr>
            <w:tcW w:w="1936" w:type="dxa"/>
            <w:tcBorders>
              <w:top w:val="nil"/>
              <w:left w:val="nil"/>
              <w:bottom w:val="single" w:sz="4" w:space="0" w:color="auto"/>
              <w:right w:val="single" w:sz="4" w:space="0" w:color="auto"/>
            </w:tcBorders>
            <w:shd w:val="clear" w:color="auto" w:fill="auto"/>
            <w:vAlign w:val="bottom"/>
            <w:hideMark/>
          </w:tcPr>
          <w:p w:rsidR="00B2037C" w:rsidRPr="00B2037C" w:rsidRDefault="00B2037C" w:rsidP="00B2037C">
            <w:pPr>
              <w:tabs>
                <w:tab w:val="left" w:pos="0"/>
              </w:tabs>
              <w:jc w:val="both"/>
              <w:rPr>
                <w:color w:val="000000"/>
                <w:sz w:val="24"/>
                <w:szCs w:val="24"/>
                <w:shd w:val="clear" w:color="auto" w:fill="FFFFFF"/>
              </w:rPr>
            </w:pPr>
            <w:r w:rsidRPr="00B2037C">
              <w:rPr>
                <w:color w:val="000000"/>
                <w:sz w:val="24"/>
                <w:szCs w:val="24"/>
                <w:shd w:val="clear" w:color="auto" w:fill="FFFFFF"/>
              </w:rPr>
              <w:t>9,3</w:t>
            </w:r>
          </w:p>
        </w:tc>
        <w:tc>
          <w:tcPr>
            <w:tcW w:w="2052" w:type="dxa"/>
            <w:tcBorders>
              <w:top w:val="nil"/>
              <w:left w:val="nil"/>
              <w:bottom w:val="single" w:sz="4" w:space="0" w:color="auto"/>
              <w:right w:val="single" w:sz="4" w:space="0" w:color="auto"/>
            </w:tcBorders>
            <w:shd w:val="clear" w:color="auto" w:fill="auto"/>
            <w:vAlign w:val="bottom"/>
            <w:hideMark/>
          </w:tcPr>
          <w:p w:rsidR="00B2037C" w:rsidRPr="00B2037C" w:rsidRDefault="00B2037C" w:rsidP="00B2037C">
            <w:pPr>
              <w:tabs>
                <w:tab w:val="left" w:pos="0"/>
              </w:tabs>
              <w:jc w:val="both"/>
              <w:rPr>
                <w:color w:val="000000"/>
                <w:sz w:val="24"/>
                <w:szCs w:val="24"/>
                <w:shd w:val="clear" w:color="auto" w:fill="FFFFFF"/>
              </w:rPr>
            </w:pPr>
            <w:r w:rsidRPr="00B2037C">
              <w:rPr>
                <w:color w:val="000000"/>
                <w:sz w:val="24"/>
                <w:szCs w:val="24"/>
                <w:shd w:val="clear" w:color="auto" w:fill="FFFFFF"/>
              </w:rPr>
              <w:t>7,3</w:t>
            </w:r>
          </w:p>
        </w:tc>
        <w:tc>
          <w:tcPr>
            <w:tcW w:w="2806" w:type="dxa"/>
            <w:tcBorders>
              <w:top w:val="nil"/>
              <w:left w:val="nil"/>
              <w:bottom w:val="single" w:sz="4" w:space="0" w:color="auto"/>
              <w:right w:val="single" w:sz="4" w:space="0" w:color="auto"/>
            </w:tcBorders>
            <w:shd w:val="clear" w:color="auto" w:fill="auto"/>
            <w:vAlign w:val="bottom"/>
            <w:hideMark/>
          </w:tcPr>
          <w:p w:rsidR="00B2037C" w:rsidRPr="00B2037C" w:rsidRDefault="00B2037C" w:rsidP="00B2037C">
            <w:pPr>
              <w:tabs>
                <w:tab w:val="left" w:pos="0"/>
              </w:tabs>
              <w:jc w:val="both"/>
              <w:rPr>
                <w:color w:val="000000"/>
                <w:sz w:val="24"/>
                <w:szCs w:val="24"/>
                <w:shd w:val="clear" w:color="auto" w:fill="FFFFFF"/>
              </w:rPr>
            </w:pPr>
            <w:r w:rsidRPr="00B2037C">
              <w:rPr>
                <w:color w:val="000000"/>
                <w:sz w:val="24"/>
                <w:szCs w:val="24"/>
                <w:shd w:val="clear" w:color="auto" w:fill="FFFFFF"/>
              </w:rPr>
              <w:t>16,6</w:t>
            </w:r>
          </w:p>
        </w:tc>
      </w:tr>
      <w:tr w:rsidR="00B2037C" w:rsidRPr="00B2037C" w:rsidTr="00B2037C">
        <w:trPr>
          <w:trHeight w:val="108"/>
        </w:trPr>
        <w:tc>
          <w:tcPr>
            <w:tcW w:w="3002" w:type="dxa"/>
            <w:tcBorders>
              <w:top w:val="nil"/>
              <w:left w:val="single" w:sz="4" w:space="0" w:color="auto"/>
              <w:bottom w:val="single" w:sz="4" w:space="0" w:color="auto"/>
              <w:right w:val="single" w:sz="4" w:space="0" w:color="auto"/>
            </w:tcBorders>
            <w:shd w:val="clear" w:color="auto" w:fill="auto"/>
            <w:vAlign w:val="bottom"/>
            <w:hideMark/>
          </w:tcPr>
          <w:p w:rsidR="00B2037C" w:rsidRPr="00B2037C" w:rsidRDefault="00B2037C" w:rsidP="00B2037C">
            <w:pPr>
              <w:tabs>
                <w:tab w:val="left" w:pos="0"/>
              </w:tabs>
              <w:jc w:val="both"/>
              <w:rPr>
                <w:color w:val="000000"/>
                <w:sz w:val="24"/>
                <w:szCs w:val="24"/>
                <w:shd w:val="clear" w:color="auto" w:fill="FFFFFF"/>
              </w:rPr>
            </w:pPr>
            <w:r w:rsidRPr="00B2037C">
              <w:rPr>
                <w:color w:val="000000"/>
                <w:sz w:val="24"/>
                <w:szCs w:val="24"/>
                <w:shd w:val="clear" w:color="auto" w:fill="FFFFFF"/>
              </w:rPr>
              <w:t>Fiksuoto pajamų mokesčio, įsigijus verslo liudijimus</w:t>
            </w:r>
          </w:p>
        </w:tc>
        <w:tc>
          <w:tcPr>
            <w:tcW w:w="1936" w:type="dxa"/>
            <w:tcBorders>
              <w:top w:val="nil"/>
              <w:left w:val="nil"/>
              <w:bottom w:val="single" w:sz="4" w:space="0" w:color="auto"/>
              <w:right w:val="single" w:sz="4" w:space="0" w:color="auto"/>
            </w:tcBorders>
            <w:shd w:val="clear" w:color="auto" w:fill="auto"/>
            <w:vAlign w:val="bottom"/>
            <w:hideMark/>
          </w:tcPr>
          <w:p w:rsidR="00B2037C" w:rsidRPr="00B2037C" w:rsidRDefault="00B2037C" w:rsidP="00B2037C">
            <w:pPr>
              <w:tabs>
                <w:tab w:val="left" w:pos="0"/>
              </w:tabs>
              <w:jc w:val="both"/>
              <w:rPr>
                <w:color w:val="000000"/>
                <w:sz w:val="24"/>
                <w:szCs w:val="24"/>
                <w:shd w:val="clear" w:color="auto" w:fill="FFFFFF"/>
              </w:rPr>
            </w:pPr>
            <w:r w:rsidRPr="00B2037C">
              <w:rPr>
                <w:color w:val="000000"/>
                <w:sz w:val="24"/>
                <w:szCs w:val="24"/>
                <w:shd w:val="clear" w:color="auto" w:fill="FFFFFF"/>
              </w:rPr>
              <w:t>6,7</w:t>
            </w:r>
          </w:p>
        </w:tc>
        <w:tc>
          <w:tcPr>
            <w:tcW w:w="2052" w:type="dxa"/>
            <w:tcBorders>
              <w:top w:val="nil"/>
              <w:left w:val="nil"/>
              <w:bottom w:val="single" w:sz="4" w:space="0" w:color="auto"/>
              <w:right w:val="single" w:sz="4" w:space="0" w:color="auto"/>
            </w:tcBorders>
            <w:shd w:val="clear" w:color="auto" w:fill="auto"/>
            <w:vAlign w:val="bottom"/>
            <w:hideMark/>
          </w:tcPr>
          <w:p w:rsidR="00B2037C" w:rsidRPr="00B2037C" w:rsidRDefault="00B2037C" w:rsidP="00B2037C">
            <w:pPr>
              <w:tabs>
                <w:tab w:val="left" w:pos="0"/>
              </w:tabs>
              <w:jc w:val="both"/>
              <w:rPr>
                <w:color w:val="000000"/>
                <w:sz w:val="24"/>
                <w:szCs w:val="24"/>
                <w:shd w:val="clear" w:color="auto" w:fill="FFFFFF"/>
              </w:rPr>
            </w:pPr>
            <w:r w:rsidRPr="00B2037C">
              <w:rPr>
                <w:color w:val="000000"/>
                <w:sz w:val="24"/>
                <w:szCs w:val="24"/>
                <w:shd w:val="clear" w:color="auto" w:fill="FFFFFF"/>
              </w:rPr>
              <w:t> 0</w:t>
            </w:r>
          </w:p>
        </w:tc>
        <w:tc>
          <w:tcPr>
            <w:tcW w:w="2806" w:type="dxa"/>
            <w:tcBorders>
              <w:top w:val="nil"/>
              <w:left w:val="nil"/>
              <w:bottom w:val="single" w:sz="4" w:space="0" w:color="auto"/>
              <w:right w:val="single" w:sz="4" w:space="0" w:color="auto"/>
            </w:tcBorders>
            <w:shd w:val="clear" w:color="auto" w:fill="auto"/>
            <w:vAlign w:val="bottom"/>
            <w:hideMark/>
          </w:tcPr>
          <w:p w:rsidR="00B2037C" w:rsidRPr="00B2037C" w:rsidRDefault="00B2037C" w:rsidP="00B2037C">
            <w:pPr>
              <w:tabs>
                <w:tab w:val="left" w:pos="0"/>
              </w:tabs>
              <w:jc w:val="both"/>
              <w:rPr>
                <w:color w:val="000000"/>
                <w:sz w:val="24"/>
                <w:szCs w:val="24"/>
                <w:shd w:val="clear" w:color="auto" w:fill="FFFFFF"/>
              </w:rPr>
            </w:pPr>
            <w:r w:rsidRPr="00B2037C">
              <w:rPr>
                <w:color w:val="000000"/>
                <w:sz w:val="24"/>
                <w:szCs w:val="24"/>
                <w:shd w:val="clear" w:color="auto" w:fill="FFFFFF"/>
              </w:rPr>
              <w:t>6,7</w:t>
            </w:r>
          </w:p>
        </w:tc>
      </w:tr>
      <w:tr w:rsidR="00B2037C" w:rsidRPr="00B2037C" w:rsidTr="00B2037C">
        <w:trPr>
          <w:trHeight w:val="54"/>
        </w:trPr>
        <w:tc>
          <w:tcPr>
            <w:tcW w:w="3002" w:type="dxa"/>
            <w:tcBorders>
              <w:top w:val="nil"/>
              <w:left w:val="single" w:sz="4" w:space="0" w:color="auto"/>
              <w:bottom w:val="single" w:sz="4" w:space="0" w:color="auto"/>
              <w:right w:val="single" w:sz="4" w:space="0" w:color="auto"/>
            </w:tcBorders>
            <w:shd w:val="clear" w:color="auto" w:fill="auto"/>
            <w:noWrap/>
            <w:vAlign w:val="bottom"/>
            <w:hideMark/>
          </w:tcPr>
          <w:p w:rsidR="00B2037C" w:rsidRPr="00B2037C" w:rsidRDefault="00B2037C" w:rsidP="00B2037C">
            <w:pPr>
              <w:tabs>
                <w:tab w:val="left" w:pos="0"/>
              </w:tabs>
              <w:jc w:val="both"/>
              <w:rPr>
                <w:color w:val="000000"/>
                <w:sz w:val="24"/>
                <w:szCs w:val="24"/>
                <w:shd w:val="clear" w:color="auto" w:fill="FFFFFF"/>
              </w:rPr>
            </w:pPr>
            <w:r w:rsidRPr="00B2037C">
              <w:rPr>
                <w:color w:val="000000"/>
                <w:sz w:val="24"/>
                <w:szCs w:val="24"/>
                <w:shd w:val="clear" w:color="auto" w:fill="FFFFFF"/>
              </w:rPr>
              <w:t xml:space="preserve">Nekilnojamojo turto mokesčio </w:t>
            </w:r>
          </w:p>
        </w:tc>
        <w:tc>
          <w:tcPr>
            <w:tcW w:w="1936" w:type="dxa"/>
            <w:tcBorders>
              <w:top w:val="nil"/>
              <w:left w:val="nil"/>
              <w:bottom w:val="single" w:sz="4" w:space="0" w:color="auto"/>
              <w:right w:val="single" w:sz="4" w:space="0" w:color="auto"/>
            </w:tcBorders>
            <w:shd w:val="clear" w:color="auto" w:fill="auto"/>
            <w:vAlign w:val="bottom"/>
            <w:hideMark/>
          </w:tcPr>
          <w:p w:rsidR="00B2037C" w:rsidRPr="00B2037C" w:rsidRDefault="00B2037C" w:rsidP="00B2037C">
            <w:pPr>
              <w:tabs>
                <w:tab w:val="left" w:pos="0"/>
              </w:tabs>
              <w:jc w:val="both"/>
              <w:rPr>
                <w:color w:val="000000"/>
                <w:sz w:val="24"/>
                <w:szCs w:val="24"/>
                <w:shd w:val="clear" w:color="auto" w:fill="FFFFFF"/>
              </w:rPr>
            </w:pPr>
            <w:r w:rsidRPr="00B2037C">
              <w:rPr>
                <w:color w:val="000000"/>
                <w:sz w:val="24"/>
                <w:szCs w:val="24"/>
                <w:shd w:val="clear" w:color="auto" w:fill="FFFFFF"/>
              </w:rPr>
              <w:t>2,5</w:t>
            </w:r>
          </w:p>
        </w:tc>
        <w:tc>
          <w:tcPr>
            <w:tcW w:w="2052" w:type="dxa"/>
            <w:tcBorders>
              <w:top w:val="nil"/>
              <w:left w:val="nil"/>
              <w:bottom w:val="single" w:sz="4" w:space="0" w:color="auto"/>
              <w:right w:val="single" w:sz="4" w:space="0" w:color="auto"/>
            </w:tcBorders>
            <w:shd w:val="clear" w:color="auto" w:fill="auto"/>
            <w:vAlign w:val="bottom"/>
            <w:hideMark/>
          </w:tcPr>
          <w:p w:rsidR="00B2037C" w:rsidRPr="00B2037C" w:rsidRDefault="00B2037C" w:rsidP="00B2037C">
            <w:pPr>
              <w:tabs>
                <w:tab w:val="left" w:pos="0"/>
              </w:tabs>
              <w:jc w:val="both"/>
              <w:rPr>
                <w:color w:val="000000"/>
                <w:sz w:val="24"/>
                <w:szCs w:val="24"/>
                <w:shd w:val="clear" w:color="auto" w:fill="FFFFFF"/>
              </w:rPr>
            </w:pPr>
            <w:r w:rsidRPr="00B2037C">
              <w:rPr>
                <w:color w:val="000000"/>
                <w:sz w:val="24"/>
                <w:szCs w:val="24"/>
                <w:shd w:val="clear" w:color="auto" w:fill="FFFFFF"/>
              </w:rPr>
              <w:t> 0</w:t>
            </w:r>
          </w:p>
        </w:tc>
        <w:tc>
          <w:tcPr>
            <w:tcW w:w="2806" w:type="dxa"/>
            <w:tcBorders>
              <w:top w:val="nil"/>
              <w:left w:val="nil"/>
              <w:bottom w:val="single" w:sz="4" w:space="0" w:color="auto"/>
              <w:right w:val="single" w:sz="4" w:space="0" w:color="auto"/>
            </w:tcBorders>
            <w:shd w:val="clear" w:color="auto" w:fill="auto"/>
            <w:vAlign w:val="bottom"/>
            <w:hideMark/>
          </w:tcPr>
          <w:p w:rsidR="00B2037C" w:rsidRPr="00B2037C" w:rsidRDefault="00B2037C" w:rsidP="00B2037C">
            <w:pPr>
              <w:tabs>
                <w:tab w:val="left" w:pos="0"/>
              </w:tabs>
              <w:jc w:val="both"/>
              <w:rPr>
                <w:color w:val="000000"/>
                <w:sz w:val="24"/>
                <w:szCs w:val="24"/>
                <w:shd w:val="clear" w:color="auto" w:fill="FFFFFF"/>
              </w:rPr>
            </w:pPr>
            <w:r w:rsidRPr="00B2037C">
              <w:rPr>
                <w:color w:val="000000"/>
                <w:sz w:val="24"/>
                <w:szCs w:val="24"/>
                <w:shd w:val="clear" w:color="auto" w:fill="FFFFFF"/>
              </w:rPr>
              <w:t>2,5</w:t>
            </w:r>
          </w:p>
        </w:tc>
      </w:tr>
      <w:tr w:rsidR="00B2037C" w:rsidRPr="00B2037C" w:rsidTr="00B2037C">
        <w:trPr>
          <w:trHeight w:val="54"/>
        </w:trPr>
        <w:tc>
          <w:tcPr>
            <w:tcW w:w="3002" w:type="dxa"/>
            <w:tcBorders>
              <w:top w:val="nil"/>
              <w:left w:val="single" w:sz="4" w:space="0" w:color="auto"/>
              <w:bottom w:val="single" w:sz="4" w:space="0" w:color="auto"/>
              <w:right w:val="single" w:sz="4" w:space="0" w:color="auto"/>
            </w:tcBorders>
            <w:shd w:val="clear" w:color="auto" w:fill="auto"/>
            <w:noWrap/>
            <w:vAlign w:val="bottom"/>
            <w:hideMark/>
          </w:tcPr>
          <w:p w:rsidR="00B2037C" w:rsidRPr="00B2037C" w:rsidRDefault="00B2037C" w:rsidP="00B2037C">
            <w:pPr>
              <w:tabs>
                <w:tab w:val="left" w:pos="0"/>
              </w:tabs>
              <w:jc w:val="both"/>
              <w:rPr>
                <w:b/>
                <w:bCs/>
                <w:color w:val="000000"/>
                <w:sz w:val="24"/>
                <w:szCs w:val="24"/>
                <w:shd w:val="clear" w:color="auto" w:fill="FFFFFF"/>
              </w:rPr>
            </w:pPr>
            <w:r w:rsidRPr="00B2037C">
              <w:rPr>
                <w:b/>
                <w:bCs/>
                <w:color w:val="000000"/>
                <w:sz w:val="24"/>
                <w:szCs w:val="24"/>
                <w:shd w:val="clear" w:color="auto" w:fill="FFFFFF"/>
              </w:rPr>
              <w:t>Iš viso:</w:t>
            </w:r>
          </w:p>
        </w:tc>
        <w:tc>
          <w:tcPr>
            <w:tcW w:w="1936" w:type="dxa"/>
            <w:tcBorders>
              <w:top w:val="nil"/>
              <w:left w:val="nil"/>
              <w:bottom w:val="single" w:sz="4" w:space="0" w:color="auto"/>
              <w:right w:val="single" w:sz="4" w:space="0" w:color="auto"/>
            </w:tcBorders>
            <w:shd w:val="clear" w:color="auto" w:fill="auto"/>
            <w:vAlign w:val="bottom"/>
            <w:hideMark/>
          </w:tcPr>
          <w:p w:rsidR="00B2037C" w:rsidRPr="00B2037C" w:rsidRDefault="00B2037C" w:rsidP="00B2037C">
            <w:pPr>
              <w:tabs>
                <w:tab w:val="left" w:pos="0"/>
              </w:tabs>
              <w:jc w:val="both"/>
              <w:rPr>
                <w:b/>
                <w:bCs/>
                <w:color w:val="000000"/>
                <w:sz w:val="24"/>
                <w:szCs w:val="24"/>
                <w:shd w:val="clear" w:color="auto" w:fill="FFFFFF"/>
              </w:rPr>
            </w:pPr>
            <w:r w:rsidRPr="00B2037C">
              <w:rPr>
                <w:b/>
                <w:bCs/>
                <w:color w:val="000000"/>
                <w:sz w:val="24"/>
                <w:szCs w:val="24"/>
                <w:shd w:val="clear" w:color="auto" w:fill="FFFFFF"/>
              </w:rPr>
              <w:t>18,5</w:t>
            </w:r>
          </w:p>
        </w:tc>
        <w:tc>
          <w:tcPr>
            <w:tcW w:w="2052" w:type="dxa"/>
            <w:tcBorders>
              <w:top w:val="nil"/>
              <w:left w:val="nil"/>
              <w:bottom w:val="single" w:sz="4" w:space="0" w:color="auto"/>
              <w:right w:val="single" w:sz="4" w:space="0" w:color="auto"/>
            </w:tcBorders>
            <w:shd w:val="clear" w:color="auto" w:fill="auto"/>
            <w:vAlign w:val="bottom"/>
            <w:hideMark/>
          </w:tcPr>
          <w:p w:rsidR="00B2037C" w:rsidRPr="00B2037C" w:rsidRDefault="00B2037C" w:rsidP="00B2037C">
            <w:pPr>
              <w:tabs>
                <w:tab w:val="left" w:pos="0"/>
              </w:tabs>
              <w:jc w:val="both"/>
              <w:rPr>
                <w:b/>
                <w:bCs/>
                <w:color w:val="000000"/>
                <w:sz w:val="24"/>
                <w:szCs w:val="24"/>
                <w:shd w:val="clear" w:color="auto" w:fill="FFFFFF"/>
              </w:rPr>
            </w:pPr>
            <w:r w:rsidRPr="00B2037C">
              <w:rPr>
                <w:b/>
                <w:bCs/>
                <w:color w:val="000000"/>
                <w:sz w:val="24"/>
                <w:szCs w:val="24"/>
                <w:shd w:val="clear" w:color="auto" w:fill="FFFFFF"/>
              </w:rPr>
              <w:t>53,2</w:t>
            </w:r>
          </w:p>
        </w:tc>
        <w:tc>
          <w:tcPr>
            <w:tcW w:w="2806" w:type="dxa"/>
            <w:tcBorders>
              <w:top w:val="nil"/>
              <w:left w:val="nil"/>
              <w:bottom w:val="single" w:sz="4" w:space="0" w:color="auto"/>
              <w:right w:val="single" w:sz="4" w:space="0" w:color="auto"/>
            </w:tcBorders>
            <w:shd w:val="clear" w:color="auto" w:fill="auto"/>
            <w:vAlign w:val="bottom"/>
            <w:hideMark/>
          </w:tcPr>
          <w:p w:rsidR="00B2037C" w:rsidRPr="00B2037C" w:rsidRDefault="00B2037C" w:rsidP="00B2037C">
            <w:pPr>
              <w:tabs>
                <w:tab w:val="left" w:pos="0"/>
              </w:tabs>
              <w:jc w:val="both"/>
              <w:rPr>
                <w:b/>
                <w:bCs/>
                <w:color w:val="000000"/>
                <w:sz w:val="24"/>
                <w:szCs w:val="24"/>
                <w:shd w:val="clear" w:color="auto" w:fill="FFFFFF"/>
              </w:rPr>
            </w:pPr>
            <w:r w:rsidRPr="00B2037C">
              <w:rPr>
                <w:b/>
                <w:bCs/>
                <w:color w:val="000000"/>
                <w:sz w:val="24"/>
                <w:szCs w:val="24"/>
                <w:shd w:val="clear" w:color="auto" w:fill="FFFFFF"/>
              </w:rPr>
              <w:t>71,7</w:t>
            </w:r>
          </w:p>
        </w:tc>
      </w:tr>
    </w:tbl>
    <w:p w:rsidR="00B2037C" w:rsidRPr="00B2037C" w:rsidRDefault="00B2037C" w:rsidP="00B2037C">
      <w:pPr>
        <w:tabs>
          <w:tab w:val="left" w:pos="0"/>
        </w:tabs>
        <w:jc w:val="both"/>
        <w:rPr>
          <w:b/>
          <w:bCs/>
          <w:color w:val="000000"/>
          <w:sz w:val="24"/>
          <w:szCs w:val="24"/>
          <w:shd w:val="clear" w:color="auto" w:fill="FFFFFF"/>
        </w:rPr>
      </w:pPr>
    </w:p>
    <w:p w:rsidR="00993FAA" w:rsidRPr="00B967E9" w:rsidRDefault="00993FAA" w:rsidP="00435CA9">
      <w:pPr>
        <w:tabs>
          <w:tab w:val="left" w:pos="0"/>
        </w:tabs>
        <w:jc w:val="both"/>
        <w:rPr>
          <w:color w:val="000000"/>
          <w:sz w:val="24"/>
          <w:szCs w:val="24"/>
          <w:shd w:val="clear" w:color="auto" w:fill="FFFFFF"/>
        </w:rPr>
      </w:pPr>
    </w:p>
    <w:p w:rsidR="00807321" w:rsidRPr="00AF4C62" w:rsidRDefault="00807321" w:rsidP="0058502C">
      <w:pPr>
        <w:tabs>
          <w:tab w:val="left" w:pos="540"/>
          <w:tab w:val="left" w:pos="720"/>
        </w:tabs>
        <w:ind w:firstLine="420"/>
        <w:jc w:val="center"/>
        <w:rPr>
          <w:b/>
          <w:sz w:val="28"/>
          <w:szCs w:val="28"/>
        </w:rPr>
      </w:pPr>
      <w:r w:rsidRPr="00AF4C62">
        <w:rPr>
          <w:b/>
          <w:sz w:val="28"/>
          <w:szCs w:val="28"/>
        </w:rPr>
        <w:t>Išlaidų plano įvykdymas</w:t>
      </w:r>
    </w:p>
    <w:p w:rsidR="00C9061D" w:rsidRPr="00AF4C62" w:rsidRDefault="00C9061D" w:rsidP="00C9061D">
      <w:pPr>
        <w:ind w:left="420"/>
        <w:rPr>
          <w:b/>
          <w:sz w:val="28"/>
          <w:szCs w:val="28"/>
        </w:rPr>
      </w:pPr>
    </w:p>
    <w:p w:rsidR="00C9061D" w:rsidRPr="009752D7" w:rsidRDefault="00750115" w:rsidP="00701AA5">
      <w:pPr>
        <w:ind w:firstLine="720"/>
        <w:jc w:val="both"/>
        <w:rPr>
          <w:sz w:val="24"/>
          <w:szCs w:val="24"/>
        </w:rPr>
      </w:pPr>
      <w:r w:rsidRPr="009752D7">
        <w:rPr>
          <w:sz w:val="24"/>
          <w:szCs w:val="24"/>
        </w:rPr>
        <w:t>Patikslintas 2021</w:t>
      </w:r>
      <w:r w:rsidR="00C9061D" w:rsidRPr="009752D7">
        <w:rPr>
          <w:sz w:val="24"/>
          <w:szCs w:val="24"/>
        </w:rPr>
        <w:t xml:space="preserve"> m. išlaidų planas – </w:t>
      </w:r>
      <w:r w:rsidRPr="009752D7">
        <w:rPr>
          <w:sz w:val="24"/>
          <w:szCs w:val="24"/>
        </w:rPr>
        <w:t>60 412,5</w:t>
      </w:r>
      <w:r w:rsidR="00C9061D" w:rsidRPr="009752D7">
        <w:rPr>
          <w:sz w:val="24"/>
          <w:szCs w:val="24"/>
        </w:rPr>
        <w:t xml:space="preserve"> tūkst. eurų. Išlaidų planas įvykdytas</w:t>
      </w:r>
      <w:r w:rsidRPr="009752D7">
        <w:rPr>
          <w:sz w:val="24"/>
          <w:szCs w:val="24"/>
        </w:rPr>
        <w:t xml:space="preserve"> 95,4 procento (2020</w:t>
      </w:r>
      <w:r w:rsidR="00CA33C6" w:rsidRPr="009752D7">
        <w:rPr>
          <w:sz w:val="24"/>
          <w:szCs w:val="24"/>
        </w:rPr>
        <w:t xml:space="preserve"> m. išlaidų planas buvo įvykdytas </w:t>
      </w:r>
      <w:r w:rsidRPr="009752D7">
        <w:rPr>
          <w:sz w:val="24"/>
          <w:szCs w:val="24"/>
        </w:rPr>
        <w:t>94,4</w:t>
      </w:r>
      <w:r w:rsidR="00C9061D" w:rsidRPr="009752D7">
        <w:rPr>
          <w:sz w:val="24"/>
          <w:szCs w:val="24"/>
        </w:rPr>
        <w:t xml:space="preserve"> procento</w:t>
      </w:r>
      <w:r w:rsidR="00CA33C6" w:rsidRPr="009752D7">
        <w:rPr>
          <w:sz w:val="24"/>
          <w:szCs w:val="24"/>
        </w:rPr>
        <w:t>)</w:t>
      </w:r>
      <w:r w:rsidR="00C9061D" w:rsidRPr="009752D7">
        <w:rPr>
          <w:sz w:val="24"/>
          <w:szCs w:val="24"/>
        </w:rPr>
        <w:t>.</w:t>
      </w:r>
    </w:p>
    <w:p w:rsidR="00C9061D" w:rsidRPr="009752D7" w:rsidRDefault="00C9061D" w:rsidP="00701AA5">
      <w:pPr>
        <w:tabs>
          <w:tab w:val="left" w:pos="720"/>
        </w:tabs>
        <w:ind w:firstLine="720"/>
        <w:jc w:val="both"/>
        <w:rPr>
          <w:sz w:val="24"/>
          <w:szCs w:val="24"/>
        </w:rPr>
      </w:pPr>
      <w:r w:rsidRPr="009752D7">
        <w:rPr>
          <w:sz w:val="24"/>
          <w:szCs w:val="24"/>
        </w:rPr>
        <w:t xml:space="preserve">Biudžeto išlaidos vykdytos pagal 8 programas, numatytas Plungės rajono savivaldybės strateginiame veiklos plane. </w:t>
      </w:r>
    </w:p>
    <w:p w:rsidR="00C9061D" w:rsidRDefault="0009708F" w:rsidP="00701AA5">
      <w:pPr>
        <w:ind w:firstLine="720"/>
        <w:jc w:val="both"/>
        <w:rPr>
          <w:sz w:val="24"/>
          <w:szCs w:val="24"/>
        </w:rPr>
      </w:pPr>
      <w:r w:rsidRPr="009752D7">
        <w:rPr>
          <w:sz w:val="24"/>
          <w:szCs w:val="24"/>
        </w:rPr>
        <w:t>4</w:t>
      </w:r>
      <w:r w:rsidR="00F478C0" w:rsidRPr="009752D7">
        <w:rPr>
          <w:sz w:val="24"/>
          <w:szCs w:val="24"/>
        </w:rPr>
        <w:t xml:space="preserve"> paveiksle p</w:t>
      </w:r>
      <w:r w:rsidR="00E01D24" w:rsidRPr="009752D7">
        <w:rPr>
          <w:sz w:val="24"/>
          <w:szCs w:val="24"/>
        </w:rPr>
        <w:t>arodyta, kiek 2018-2021</w:t>
      </w:r>
      <w:r w:rsidR="00C9061D" w:rsidRPr="009752D7">
        <w:rPr>
          <w:sz w:val="24"/>
          <w:szCs w:val="24"/>
        </w:rPr>
        <w:t xml:space="preserve"> metais biudžeto išlaidų (mln. </w:t>
      </w:r>
      <w:r w:rsidR="00B617A4" w:rsidRPr="009752D7">
        <w:rPr>
          <w:sz w:val="24"/>
          <w:szCs w:val="24"/>
        </w:rPr>
        <w:t>e</w:t>
      </w:r>
      <w:r w:rsidR="00C9061D" w:rsidRPr="009752D7">
        <w:rPr>
          <w:sz w:val="24"/>
          <w:szCs w:val="24"/>
        </w:rPr>
        <w:t>urų) tenka kiekvi</w:t>
      </w:r>
      <w:r w:rsidR="00A377D8" w:rsidRPr="009752D7">
        <w:rPr>
          <w:sz w:val="24"/>
          <w:szCs w:val="24"/>
        </w:rPr>
        <w:t>enai programai bei jų dinamika.</w:t>
      </w:r>
    </w:p>
    <w:p w:rsidR="00FB1932" w:rsidRDefault="00FB1932" w:rsidP="00C9061D">
      <w:pPr>
        <w:ind w:firstLine="420"/>
        <w:jc w:val="both"/>
        <w:rPr>
          <w:sz w:val="24"/>
          <w:szCs w:val="24"/>
        </w:rPr>
      </w:pPr>
    </w:p>
    <w:p w:rsidR="00C9061D" w:rsidRPr="00C9061D" w:rsidRDefault="00E01D24" w:rsidP="008A4CBA">
      <w:pPr>
        <w:jc w:val="both"/>
        <w:rPr>
          <w:sz w:val="24"/>
          <w:szCs w:val="24"/>
        </w:rPr>
      </w:pPr>
      <w:r>
        <w:rPr>
          <w:noProof/>
          <w:lang w:eastAsia="lt-LT"/>
        </w:rPr>
        <w:drawing>
          <wp:inline distT="0" distB="0" distL="0" distR="0" wp14:anchorId="30328376" wp14:editId="628EE1B6">
            <wp:extent cx="6229350" cy="6614809"/>
            <wp:effectExtent l="0" t="0" r="0" b="0"/>
            <wp:docPr id="11" name="Diagrama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01D24" w:rsidRDefault="0009708F" w:rsidP="00C9061D">
      <w:pPr>
        <w:ind w:firstLine="420"/>
        <w:jc w:val="center"/>
        <w:rPr>
          <w:b/>
          <w:sz w:val="24"/>
          <w:szCs w:val="24"/>
        </w:rPr>
      </w:pPr>
      <w:r>
        <w:rPr>
          <w:b/>
          <w:sz w:val="24"/>
          <w:szCs w:val="24"/>
        </w:rPr>
        <w:t xml:space="preserve"> </w:t>
      </w:r>
    </w:p>
    <w:p w:rsidR="00C9061D" w:rsidRDefault="0009708F" w:rsidP="00C9061D">
      <w:pPr>
        <w:ind w:firstLine="420"/>
        <w:jc w:val="center"/>
        <w:rPr>
          <w:b/>
          <w:sz w:val="24"/>
          <w:szCs w:val="24"/>
        </w:rPr>
      </w:pPr>
      <w:r w:rsidRPr="00AB5D51">
        <w:rPr>
          <w:b/>
          <w:sz w:val="24"/>
          <w:szCs w:val="24"/>
        </w:rPr>
        <w:t>4</w:t>
      </w:r>
      <w:r w:rsidR="00C9061D" w:rsidRPr="00AB5D51">
        <w:rPr>
          <w:b/>
          <w:sz w:val="24"/>
          <w:szCs w:val="24"/>
        </w:rPr>
        <w:t xml:space="preserve"> pav</w:t>
      </w:r>
      <w:r w:rsidR="00F478C0" w:rsidRPr="00AB5D51">
        <w:rPr>
          <w:b/>
          <w:sz w:val="24"/>
          <w:szCs w:val="24"/>
        </w:rPr>
        <w:t>. Biudžeto išlai</w:t>
      </w:r>
      <w:r w:rsidR="00E01D24">
        <w:rPr>
          <w:b/>
          <w:sz w:val="24"/>
          <w:szCs w:val="24"/>
        </w:rPr>
        <w:t>dų dinamika pagal programas 2018– 2021</w:t>
      </w:r>
      <w:r w:rsidR="00C9061D" w:rsidRPr="00AB5D51">
        <w:rPr>
          <w:b/>
          <w:sz w:val="24"/>
          <w:szCs w:val="24"/>
        </w:rPr>
        <w:t xml:space="preserve"> metais, mln. eurų</w:t>
      </w:r>
    </w:p>
    <w:p w:rsidR="00F859BD" w:rsidRPr="00C9061D" w:rsidRDefault="00F859BD" w:rsidP="00C9061D">
      <w:pPr>
        <w:ind w:firstLine="420"/>
        <w:jc w:val="center"/>
        <w:rPr>
          <w:b/>
          <w:sz w:val="24"/>
          <w:szCs w:val="24"/>
        </w:rPr>
      </w:pPr>
    </w:p>
    <w:p w:rsidR="009B7F45" w:rsidRPr="00AB5D51" w:rsidRDefault="00C63A1B" w:rsidP="009B7F45">
      <w:pPr>
        <w:ind w:firstLine="720"/>
        <w:jc w:val="both"/>
        <w:rPr>
          <w:sz w:val="24"/>
          <w:szCs w:val="24"/>
        </w:rPr>
      </w:pPr>
      <w:r>
        <w:rPr>
          <w:sz w:val="24"/>
          <w:szCs w:val="24"/>
        </w:rPr>
        <w:t>Sa</w:t>
      </w:r>
      <w:r w:rsidR="009B7F45" w:rsidRPr="00AB5D51">
        <w:rPr>
          <w:sz w:val="24"/>
          <w:szCs w:val="24"/>
        </w:rPr>
        <w:t>v</w:t>
      </w:r>
      <w:r w:rsidR="00750115">
        <w:rPr>
          <w:sz w:val="24"/>
          <w:szCs w:val="24"/>
        </w:rPr>
        <w:t>ivaldybės biudžeto išlaidas 2021</w:t>
      </w:r>
      <w:r w:rsidR="009B7F45" w:rsidRPr="00AB5D51">
        <w:rPr>
          <w:sz w:val="24"/>
          <w:szCs w:val="24"/>
        </w:rPr>
        <w:t xml:space="preserve"> </w:t>
      </w:r>
      <w:r w:rsidR="009B7F45" w:rsidRPr="009752D7">
        <w:rPr>
          <w:sz w:val="24"/>
          <w:szCs w:val="24"/>
        </w:rPr>
        <w:t>metais (</w:t>
      </w:r>
      <w:r w:rsidR="00DD24F5" w:rsidRPr="009752D7">
        <w:rPr>
          <w:sz w:val="24"/>
          <w:szCs w:val="24"/>
        </w:rPr>
        <w:t>5</w:t>
      </w:r>
      <w:r w:rsidR="00F14FC1" w:rsidRPr="009752D7">
        <w:rPr>
          <w:sz w:val="24"/>
          <w:szCs w:val="24"/>
        </w:rPr>
        <w:t>7</w:t>
      </w:r>
      <w:r w:rsidR="00712D0D" w:rsidRPr="009752D7">
        <w:rPr>
          <w:sz w:val="24"/>
          <w:szCs w:val="24"/>
        </w:rPr>
        <w:t xml:space="preserve"> </w:t>
      </w:r>
      <w:r w:rsidR="00DD24F5" w:rsidRPr="009752D7">
        <w:rPr>
          <w:sz w:val="24"/>
          <w:szCs w:val="24"/>
        </w:rPr>
        <w:t>6</w:t>
      </w:r>
      <w:r w:rsidR="00F14FC1" w:rsidRPr="009752D7">
        <w:rPr>
          <w:sz w:val="24"/>
          <w:szCs w:val="24"/>
        </w:rPr>
        <w:t>66,2</w:t>
      </w:r>
      <w:r w:rsidR="009B7F45" w:rsidRPr="009752D7">
        <w:rPr>
          <w:sz w:val="24"/>
          <w:szCs w:val="24"/>
        </w:rPr>
        <w:t xml:space="preserve"> tūkst. </w:t>
      </w:r>
      <w:r w:rsidR="00712D0D" w:rsidRPr="009752D7">
        <w:rPr>
          <w:sz w:val="24"/>
          <w:szCs w:val="24"/>
        </w:rPr>
        <w:t>e</w:t>
      </w:r>
      <w:r w:rsidR="009B7F45" w:rsidRPr="009752D7">
        <w:rPr>
          <w:sz w:val="24"/>
          <w:szCs w:val="24"/>
        </w:rPr>
        <w:t xml:space="preserve">urų) </w:t>
      </w:r>
      <w:r w:rsidR="00750115" w:rsidRPr="009752D7">
        <w:rPr>
          <w:sz w:val="24"/>
          <w:szCs w:val="24"/>
        </w:rPr>
        <w:t>(2020</w:t>
      </w:r>
      <w:r w:rsidR="00CA33C6" w:rsidRPr="009752D7">
        <w:rPr>
          <w:sz w:val="24"/>
          <w:szCs w:val="24"/>
        </w:rPr>
        <w:t xml:space="preserve"> m</w:t>
      </w:r>
      <w:r w:rsidR="00CA33C6" w:rsidRPr="00AB5D51">
        <w:rPr>
          <w:sz w:val="24"/>
          <w:szCs w:val="24"/>
        </w:rPr>
        <w:t xml:space="preserve">. buvo </w:t>
      </w:r>
      <w:r w:rsidR="00750115" w:rsidRPr="00AB5D51">
        <w:rPr>
          <w:sz w:val="24"/>
          <w:szCs w:val="24"/>
        </w:rPr>
        <w:t>51</w:t>
      </w:r>
      <w:r w:rsidR="00750115">
        <w:rPr>
          <w:sz w:val="24"/>
          <w:szCs w:val="24"/>
        </w:rPr>
        <w:t xml:space="preserve"> </w:t>
      </w:r>
      <w:r w:rsidR="00750115" w:rsidRPr="00AB5D51">
        <w:rPr>
          <w:sz w:val="24"/>
          <w:szCs w:val="24"/>
        </w:rPr>
        <w:t xml:space="preserve">676,6 </w:t>
      </w:r>
      <w:r w:rsidR="0008691B">
        <w:rPr>
          <w:sz w:val="24"/>
          <w:szCs w:val="24"/>
        </w:rPr>
        <w:t>tūkst.</w:t>
      </w:r>
      <w:r w:rsidR="00701AA5">
        <w:rPr>
          <w:sz w:val="24"/>
          <w:szCs w:val="24"/>
        </w:rPr>
        <w:t xml:space="preserve"> </w:t>
      </w:r>
      <w:r w:rsidR="0008691B">
        <w:rPr>
          <w:sz w:val="24"/>
          <w:szCs w:val="24"/>
        </w:rPr>
        <w:t>e</w:t>
      </w:r>
      <w:r w:rsidR="00712D0D">
        <w:rPr>
          <w:sz w:val="24"/>
          <w:szCs w:val="24"/>
        </w:rPr>
        <w:t>ur</w:t>
      </w:r>
      <w:r w:rsidR="0008691B">
        <w:rPr>
          <w:sz w:val="24"/>
          <w:szCs w:val="24"/>
        </w:rPr>
        <w:t>ų</w:t>
      </w:r>
      <w:r w:rsidR="00CA33C6" w:rsidRPr="00AB5D51">
        <w:rPr>
          <w:sz w:val="24"/>
          <w:szCs w:val="24"/>
        </w:rPr>
        <w:t xml:space="preserve">) </w:t>
      </w:r>
      <w:r w:rsidR="009B7F45" w:rsidRPr="00AB5D51">
        <w:rPr>
          <w:sz w:val="24"/>
          <w:szCs w:val="24"/>
        </w:rPr>
        <w:t xml:space="preserve">sudaro: </w:t>
      </w:r>
    </w:p>
    <w:p w:rsidR="00CA33C6" w:rsidRPr="00AB5D51" w:rsidRDefault="009B7F45" w:rsidP="00CA33C6">
      <w:pPr>
        <w:ind w:firstLine="720"/>
        <w:jc w:val="both"/>
        <w:rPr>
          <w:sz w:val="24"/>
          <w:szCs w:val="24"/>
        </w:rPr>
      </w:pPr>
      <w:r w:rsidRPr="00AB5D51">
        <w:rPr>
          <w:sz w:val="24"/>
          <w:szCs w:val="24"/>
        </w:rPr>
        <w:t>-</w:t>
      </w:r>
      <w:r w:rsidRPr="00AB5D51">
        <w:rPr>
          <w:sz w:val="24"/>
          <w:szCs w:val="24"/>
        </w:rPr>
        <w:tab/>
      </w:r>
      <w:r w:rsidR="00CA33C6" w:rsidRPr="00AB5D51">
        <w:rPr>
          <w:sz w:val="24"/>
          <w:szCs w:val="24"/>
        </w:rPr>
        <w:t>darbo užmokestis –</w:t>
      </w:r>
      <w:r w:rsidR="00635E1D">
        <w:rPr>
          <w:sz w:val="24"/>
          <w:szCs w:val="24"/>
        </w:rPr>
        <w:t xml:space="preserve"> </w:t>
      </w:r>
      <w:r w:rsidR="00F14FC1">
        <w:rPr>
          <w:sz w:val="24"/>
          <w:szCs w:val="24"/>
        </w:rPr>
        <w:t xml:space="preserve">24 919,0 </w:t>
      </w:r>
      <w:r w:rsidR="0092384D">
        <w:rPr>
          <w:sz w:val="24"/>
          <w:szCs w:val="24"/>
        </w:rPr>
        <w:t>tūkst. eurų (2020</w:t>
      </w:r>
      <w:r w:rsidR="00CA33C6" w:rsidRPr="00AB5D51">
        <w:rPr>
          <w:sz w:val="24"/>
          <w:szCs w:val="24"/>
        </w:rPr>
        <w:t xml:space="preserve"> m. - </w:t>
      </w:r>
      <w:r w:rsidR="00F14FC1" w:rsidRPr="00F14FC1">
        <w:rPr>
          <w:sz w:val="24"/>
          <w:szCs w:val="24"/>
        </w:rPr>
        <w:t xml:space="preserve">22 984,7 </w:t>
      </w:r>
      <w:r w:rsidR="0008691B">
        <w:rPr>
          <w:sz w:val="24"/>
          <w:szCs w:val="24"/>
        </w:rPr>
        <w:t>tūkst. e</w:t>
      </w:r>
      <w:r w:rsidR="00712D0D">
        <w:rPr>
          <w:sz w:val="24"/>
          <w:szCs w:val="24"/>
        </w:rPr>
        <w:t>ur</w:t>
      </w:r>
      <w:r w:rsidR="0008691B">
        <w:rPr>
          <w:sz w:val="24"/>
          <w:szCs w:val="24"/>
        </w:rPr>
        <w:t>ų</w:t>
      </w:r>
      <w:r w:rsidR="00CA33C6" w:rsidRPr="00AB5D51">
        <w:rPr>
          <w:sz w:val="24"/>
          <w:szCs w:val="24"/>
        </w:rPr>
        <w:t xml:space="preserve">); </w:t>
      </w:r>
      <w:r w:rsidR="00712D0D">
        <w:rPr>
          <w:sz w:val="24"/>
          <w:szCs w:val="24"/>
        </w:rPr>
        <w:t xml:space="preserve"> </w:t>
      </w:r>
    </w:p>
    <w:p w:rsidR="00CA33C6" w:rsidRPr="00AB5D51" w:rsidRDefault="00CA33C6" w:rsidP="00CA33C6">
      <w:pPr>
        <w:ind w:firstLine="720"/>
        <w:jc w:val="both"/>
        <w:rPr>
          <w:sz w:val="24"/>
          <w:szCs w:val="24"/>
        </w:rPr>
      </w:pPr>
      <w:r w:rsidRPr="00AB5D51">
        <w:rPr>
          <w:sz w:val="24"/>
          <w:szCs w:val="24"/>
        </w:rPr>
        <w:t>-</w:t>
      </w:r>
      <w:r w:rsidRPr="00AB5D51">
        <w:rPr>
          <w:sz w:val="24"/>
          <w:szCs w:val="24"/>
        </w:rPr>
        <w:tab/>
        <w:t xml:space="preserve">socialinio draudimo įmokos – </w:t>
      </w:r>
      <w:r w:rsidR="00F14FC1">
        <w:rPr>
          <w:sz w:val="24"/>
          <w:szCs w:val="24"/>
        </w:rPr>
        <w:t>385,7</w:t>
      </w:r>
      <w:r w:rsidR="0092384D">
        <w:rPr>
          <w:sz w:val="24"/>
          <w:szCs w:val="24"/>
        </w:rPr>
        <w:t xml:space="preserve"> tūkst. eurų (2020</w:t>
      </w:r>
      <w:r w:rsidRPr="00AB5D51">
        <w:rPr>
          <w:sz w:val="24"/>
          <w:szCs w:val="24"/>
        </w:rPr>
        <w:t xml:space="preserve"> m. – </w:t>
      </w:r>
      <w:r w:rsidR="00F14FC1" w:rsidRPr="00F14FC1">
        <w:rPr>
          <w:sz w:val="24"/>
          <w:szCs w:val="24"/>
        </w:rPr>
        <w:t>355,5</w:t>
      </w:r>
      <w:r w:rsidR="0008691B">
        <w:rPr>
          <w:sz w:val="24"/>
          <w:szCs w:val="24"/>
        </w:rPr>
        <w:t>tūkst. e</w:t>
      </w:r>
      <w:r w:rsidR="00712D0D">
        <w:rPr>
          <w:sz w:val="24"/>
          <w:szCs w:val="24"/>
        </w:rPr>
        <w:t>ur</w:t>
      </w:r>
      <w:r w:rsidR="0008691B">
        <w:rPr>
          <w:sz w:val="24"/>
          <w:szCs w:val="24"/>
        </w:rPr>
        <w:t>ų</w:t>
      </w:r>
      <w:r w:rsidRPr="00AB5D51">
        <w:rPr>
          <w:sz w:val="24"/>
          <w:szCs w:val="24"/>
        </w:rPr>
        <w:t xml:space="preserve">); </w:t>
      </w:r>
      <w:r w:rsidR="00712D0D">
        <w:rPr>
          <w:sz w:val="24"/>
          <w:szCs w:val="24"/>
        </w:rPr>
        <w:t xml:space="preserve"> </w:t>
      </w:r>
      <w:r w:rsidRPr="00AB5D51">
        <w:rPr>
          <w:sz w:val="24"/>
          <w:szCs w:val="24"/>
        </w:rPr>
        <w:t xml:space="preserve"> </w:t>
      </w:r>
    </w:p>
    <w:p w:rsidR="00CA33C6" w:rsidRPr="00AB5D51" w:rsidRDefault="00CA33C6" w:rsidP="00CA33C6">
      <w:pPr>
        <w:ind w:firstLine="720"/>
        <w:jc w:val="both"/>
        <w:rPr>
          <w:sz w:val="24"/>
          <w:szCs w:val="24"/>
        </w:rPr>
      </w:pPr>
      <w:r w:rsidRPr="00AB5D51">
        <w:rPr>
          <w:sz w:val="24"/>
          <w:szCs w:val="24"/>
        </w:rPr>
        <w:t>-</w:t>
      </w:r>
      <w:r w:rsidRPr="00AB5D51">
        <w:rPr>
          <w:sz w:val="24"/>
          <w:szCs w:val="24"/>
        </w:rPr>
        <w:tab/>
        <w:t xml:space="preserve">prekių ir paslaugų naudojimo išlaidos – </w:t>
      </w:r>
      <w:r w:rsidR="001E6DB5" w:rsidRPr="001E6DB5">
        <w:rPr>
          <w:sz w:val="24"/>
          <w:szCs w:val="24"/>
        </w:rPr>
        <w:t xml:space="preserve">7 941,3 </w:t>
      </w:r>
      <w:r w:rsidRPr="00AB5D51">
        <w:rPr>
          <w:sz w:val="24"/>
          <w:szCs w:val="24"/>
        </w:rPr>
        <w:t>t</w:t>
      </w:r>
      <w:r w:rsidR="0092384D">
        <w:rPr>
          <w:sz w:val="24"/>
          <w:szCs w:val="24"/>
        </w:rPr>
        <w:t>ūkst. eurų (2020</w:t>
      </w:r>
      <w:r w:rsidRPr="00AB5D51">
        <w:rPr>
          <w:sz w:val="24"/>
          <w:szCs w:val="24"/>
        </w:rPr>
        <w:t xml:space="preserve"> m. – </w:t>
      </w:r>
      <w:r w:rsidR="00F14FC1" w:rsidRPr="00F14FC1">
        <w:rPr>
          <w:sz w:val="24"/>
          <w:szCs w:val="24"/>
        </w:rPr>
        <w:t xml:space="preserve">8 601,7 </w:t>
      </w:r>
      <w:r w:rsidR="0008691B">
        <w:rPr>
          <w:sz w:val="24"/>
          <w:szCs w:val="24"/>
        </w:rPr>
        <w:t>tūkst. e</w:t>
      </w:r>
      <w:r w:rsidR="00712D0D">
        <w:rPr>
          <w:sz w:val="24"/>
          <w:szCs w:val="24"/>
        </w:rPr>
        <w:t>ur</w:t>
      </w:r>
      <w:r w:rsidR="0008691B">
        <w:rPr>
          <w:sz w:val="24"/>
          <w:szCs w:val="24"/>
        </w:rPr>
        <w:t>ų</w:t>
      </w:r>
      <w:r w:rsidRPr="00AB5D51">
        <w:rPr>
          <w:sz w:val="24"/>
          <w:szCs w:val="24"/>
        </w:rPr>
        <w:t xml:space="preserve">);   </w:t>
      </w:r>
    </w:p>
    <w:p w:rsidR="00CA33C6" w:rsidRPr="00AB5D51" w:rsidRDefault="00CA33C6" w:rsidP="00CA33C6">
      <w:pPr>
        <w:ind w:firstLine="720"/>
        <w:jc w:val="both"/>
        <w:rPr>
          <w:sz w:val="24"/>
          <w:szCs w:val="24"/>
        </w:rPr>
      </w:pPr>
      <w:r w:rsidRPr="00AB5D51">
        <w:rPr>
          <w:sz w:val="24"/>
          <w:szCs w:val="24"/>
        </w:rPr>
        <w:t>-</w:t>
      </w:r>
      <w:r w:rsidRPr="00AB5D51">
        <w:rPr>
          <w:sz w:val="24"/>
          <w:szCs w:val="24"/>
        </w:rPr>
        <w:tab/>
        <w:t xml:space="preserve">palūkanų išlaidos – </w:t>
      </w:r>
      <w:r w:rsidR="00F14FC1">
        <w:rPr>
          <w:sz w:val="24"/>
          <w:szCs w:val="24"/>
        </w:rPr>
        <w:t>61,8</w:t>
      </w:r>
      <w:r w:rsidR="0092384D">
        <w:rPr>
          <w:sz w:val="24"/>
          <w:szCs w:val="24"/>
        </w:rPr>
        <w:t xml:space="preserve"> tūkst. eurų (2020</w:t>
      </w:r>
      <w:r w:rsidRPr="00AB5D51">
        <w:rPr>
          <w:sz w:val="24"/>
          <w:szCs w:val="24"/>
        </w:rPr>
        <w:t xml:space="preserve"> m. – </w:t>
      </w:r>
      <w:r w:rsidR="00F14FC1" w:rsidRPr="00F14FC1">
        <w:rPr>
          <w:sz w:val="24"/>
          <w:szCs w:val="24"/>
        </w:rPr>
        <w:t xml:space="preserve">55,0 </w:t>
      </w:r>
      <w:r w:rsidR="0008691B">
        <w:rPr>
          <w:sz w:val="24"/>
          <w:szCs w:val="24"/>
        </w:rPr>
        <w:t>tūkst. e</w:t>
      </w:r>
      <w:r w:rsidR="00712D0D">
        <w:rPr>
          <w:sz w:val="24"/>
          <w:szCs w:val="24"/>
        </w:rPr>
        <w:t>ur</w:t>
      </w:r>
      <w:r w:rsidR="0008691B">
        <w:rPr>
          <w:sz w:val="24"/>
          <w:szCs w:val="24"/>
        </w:rPr>
        <w:t>ų</w:t>
      </w:r>
      <w:r w:rsidRPr="00AB5D51">
        <w:rPr>
          <w:sz w:val="24"/>
          <w:szCs w:val="24"/>
        </w:rPr>
        <w:t>);</w:t>
      </w:r>
      <w:r w:rsidR="00712D0D">
        <w:rPr>
          <w:sz w:val="24"/>
          <w:szCs w:val="24"/>
        </w:rPr>
        <w:t xml:space="preserve"> </w:t>
      </w:r>
    </w:p>
    <w:p w:rsidR="00CA33C6" w:rsidRPr="00AB5D51" w:rsidRDefault="00CA33C6" w:rsidP="00CA33C6">
      <w:pPr>
        <w:ind w:firstLine="720"/>
        <w:jc w:val="both"/>
        <w:rPr>
          <w:sz w:val="24"/>
          <w:szCs w:val="24"/>
        </w:rPr>
      </w:pPr>
      <w:r w:rsidRPr="00AB5D51">
        <w:rPr>
          <w:sz w:val="24"/>
          <w:szCs w:val="24"/>
        </w:rPr>
        <w:t>-</w:t>
      </w:r>
      <w:r w:rsidRPr="00AB5D51">
        <w:rPr>
          <w:sz w:val="24"/>
          <w:szCs w:val="24"/>
        </w:rPr>
        <w:tab/>
        <w:t xml:space="preserve">socialinės išmokos (pašalpos) – </w:t>
      </w:r>
      <w:r w:rsidR="00F14FC1">
        <w:rPr>
          <w:sz w:val="24"/>
          <w:szCs w:val="24"/>
        </w:rPr>
        <w:t>4 350,3</w:t>
      </w:r>
      <w:r w:rsidR="0092384D">
        <w:rPr>
          <w:sz w:val="24"/>
          <w:szCs w:val="24"/>
        </w:rPr>
        <w:t xml:space="preserve"> tūkst. eurų (2020</w:t>
      </w:r>
      <w:r w:rsidRPr="00AB5D51">
        <w:rPr>
          <w:sz w:val="24"/>
          <w:szCs w:val="24"/>
        </w:rPr>
        <w:t xml:space="preserve"> m. -</w:t>
      </w:r>
      <w:r w:rsidR="0008691B">
        <w:rPr>
          <w:sz w:val="24"/>
          <w:szCs w:val="24"/>
        </w:rPr>
        <w:t xml:space="preserve"> </w:t>
      </w:r>
      <w:r w:rsidR="00F14FC1" w:rsidRPr="00F14FC1">
        <w:rPr>
          <w:sz w:val="24"/>
          <w:szCs w:val="24"/>
        </w:rPr>
        <w:t xml:space="preserve">3 325,3 </w:t>
      </w:r>
      <w:r w:rsidR="0008691B">
        <w:rPr>
          <w:sz w:val="24"/>
          <w:szCs w:val="24"/>
        </w:rPr>
        <w:t>tūkst. e</w:t>
      </w:r>
      <w:r w:rsidR="00712D0D">
        <w:rPr>
          <w:sz w:val="24"/>
          <w:szCs w:val="24"/>
        </w:rPr>
        <w:t>ur</w:t>
      </w:r>
      <w:r w:rsidR="0008691B">
        <w:rPr>
          <w:sz w:val="24"/>
          <w:szCs w:val="24"/>
        </w:rPr>
        <w:t>ų</w:t>
      </w:r>
      <w:r w:rsidRPr="00AB5D51">
        <w:rPr>
          <w:sz w:val="24"/>
          <w:szCs w:val="24"/>
        </w:rPr>
        <w:t>);</w:t>
      </w:r>
    </w:p>
    <w:p w:rsidR="00CA33C6" w:rsidRPr="00AB5D51" w:rsidRDefault="00CA33C6" w:rsidP="00CA33C6">
      <w:pPr>
        <w:ind w:firstLine="720"/>
        <w:jc w:val="both"/>
        <w:rPr>
          <w:sz w:val="24"/>
          <w:szCs w:val="24"/>
        </w:rPr>
      </w:pPr>
      <w:r w:rsidRPr="00AB5D51">
        <w:rPr>
          <w:sz w:val="24"/>
          <w:szCs w:val="24"/>
        </w:rPr>
        <w:t>-</w:t>
      </w:r>
      <w:r w:rsidRPr="00AB5D51">
        <w:rPr>
          <w:sz w:val="24"/>
          <w:szCs w:val="24"/>
        </w:rPr>
        <w:tab/>
        <w:t>kitos išlaidos</w:t>
      </w:r>
      <w:r w:rsidR="0008691B">
        <w:rPr>
          <w:sz w:val="24"/>
          <w:szCs w:val="24"/>
        </w:rPr>
        <w:t xml:space="preserve"> </w:t>
      </w:r>
      <w:r w:rsidRPr="00AB5D51">
        <w:rPr>
          <w:sz w:val="24"/>
          <w:szCs w:val="24"/>
        </w:rPr>
        <w:t>– 1</w:t>
      </w:r>
      <w:r w:rsidR="00F14FC1">
        <w:rPr>
          <w:sz w:val="24"/>
          <w:szCs w:val="24"/>
        </w:rPr>
        <w:t> 961,7</w:t>
      </w:r>
      <w:r w:rsidR="0092384D">
        <w:rPr>
          <w:sz w:val="24"/>
          <w:szCs w:val="24"/>
        </w:rPr>
        <w:t xml:space="preserve"> tūkst. eurų; (2020</w:t>
      </w:r>
      <w:r w:rsidRPr="00AB5D51">
        <w:rPr>
          <w:sz w:val="24"/>
          <w:szCs w:val="24"/>
        </w:rPr>
        <w:t xml:space="preserve"> m. – </w:t>
      </w:r>
      <w:r w:rsidR="00F14FC1" w:rsidRPr="00F14FC1">
        <w:rPr>
          <w:sz w:val="24"/>
          <w:szCs w:val="24"/>
        </w:rPr>
        <w:t>1 314,1</w:t>
      </w:r>
      <w:r w:rsidR="0008691B">
        <w:rPr>
          <w:sz w:val="24"/>
          <w:szCs w:val="24"/>
        </w:rPr>
        <w:t>tūkst. e</w:t>
      </w:r>
      <w:r w:rsidR="00712D0D">
        <w:rPr>
          <w:sz w:val="24"/>
          <w:szCs w:val="24"/>
        </w:rPr>
        <w:t>ur</w:t>
      </w:r>
      <w:r w:rsidR="0008691B">
        <w:rPr>
          <w:sz w:val="24"/>
          <w:szCs w:val="24"/>
        </w:rPr>
        <w:t>ų</w:t>
      </w:r>
      <w:r w:rsidRPr="00AB5D51">
        <w:rPr>
          <w:sz w:val="24"/>
          <w:szCs w:val="24"/>
        </w:rPr>
        <w:t>)</w:t>
      </w:r>
      <w:r w:rsidR="00712D0D">
        <w:rPr>
          <w:sz w:val="24"/>
          <w:szCs w:val="24"/>
        </w:rPr>
        <w:t>:</w:t>
      </w:r>
    </w:p>
    <w:p w:rsidR="00CA33C6" w:rsidRPr="00AB5D51" w:rsidRDefault="00CA33C6" w:rsidP="00CA33C6">
      <w:pPr>
        <w:ind w:firstLine="720"/>
        <w:jc w:val="both"/>
        <w:rPr>
          <w:sz w:val="24"/>
          <w:szCs w:val="24"/>
        </w:rPr>
      </w:pPr>
      <w:r w:rsidRPr="00AB5D51">
        <w:rPr>
          <w:sz w:val="24"/>
          <w:szCs w:val="24"/>
        </w:rPr>
        <w:t>-</w:t>
      </w:r>
      <w:r w:rsidRPr="00AB5D51">
        <w:rPr>
          <w:sz w:val="24"/>
          <w:szCs w:val="24"/>
        </w:rPr>
        <w:tab/>
        <w:t>materialiojo ir nematerialiojo turto įsigijimo išlaidos – 1</w:t>
      </w:r>
      <w:r w:rsidR="0092384D">
        <w:rPr>
          <w:sz w:val="24"/>
          <w:szCs w:val="24"/>
        </w:rPr>
        <w:t>2 763,6 tūkst. eurų (2020</w:t>
      </w:r>
      <w:r w:rsidRPr="00AB5D51">
        <w:rPr>
          <w:sz w:val="24"/>
          <w:szCs w:val="24"/>
        </w:rPr>
        <w:t xml:space="preserve"> m. – </w:t>
      </w:r>
      <w:r w:rsidR="00F14FC1" w:rsidRPr="00F14FC1">
        <w:rPr>
          <w:sz w:val="24"/>
          <w:szCs w:val="24"/>
        </w:rPr>
        <w:t xml:space="preserve">– 13 869,6 </w:t>
      </w:r>
      <w:r w:rsidR="00712D0D" w:rsidRPr="00712D0D">
        <w:rPr>
          <w:sz w:val="24"/>
          <w:szCs w:val="24"/>
        </w:rPr>
        <w:t xml:space="preserve"> </w:t>
      </w:r>
      <w:r w:rsidR="0008691B">
        <w:rPr>
          <w:sz w:val="24"/>
          <w:szCs w:val="24"/>
        </w:rPr>
        <w:t>tūkst. e</w:t>
      </w:r>
      <w:r w:rsidR="00712D0D">
        <w:rPr>
          <w:sz w:val="24"/>
          <w:szCs w:val="24"/>
        </w:rPr>
        <w:t>ur</w:t>
      </w:r>
      <w:r w:rsidR="0008691B">
        <w:rPr>
          <w:sz w:val="24"/>
          <w:szCs w:val="24"/>
        </w:rPr>
        <w:t>ų</w:t>
      </w:r>
      <w:r w:rsidRPr="00AB5D51">
        <w:rPr>
          <w:sz w:val="24"/>
          <w:szCs w:val="24"/>
        </w:rPr>
        <w:t>);</w:t>
      </w:r>
      <w:r w:rsidR="00712D0D">
        <w:rPr>
          <w:sz w:val="24"/>
          <w:szCs w:val="24"/>
        </w:rPr>
        <w:t xml:space="preserve"> </w:t>
      </w:r>
      <w:r w:rsidRPr="00AB5D51">
        <w:rPr>
          <w:sz w:val="24"/>
          <w:szCs w:val="24"/>
        </w:rPr>
        <w:t xml:space="preserve"> </w:t>
      </w:r>
    </w:p>
    <w:p w:rsidR="00CA33C6" w:rsidRPr="00AB5D51" w:rsidRDefault="00CA33C6" w:rsidP="00CA33C6">
      <w:pPr>
        <w:ind w:firstLine="720"/>
        <w:jc w:val="both"/>
        <w:rPr>
          <w:sz w:val="24"/>
          <w:szCs w:val="24"/>
        </w:rPr>
      </w:pPr>
      <w:r w:rsidRPr="00AB5D51">
        <w:rPr>
          <w:sz w:val="24"/>
          <w:szCs w:val="24"/>
        </w:rPr>
        <w:lastRenderedPageBreak/>
        <w:t>-</w:t>
      </w:r>
      <w:r w:rsidRPr="00AB5D51">
        <w:rPr>
          <w:sz w:val="24"/>
          <w:szCs w:val="24"/>
        </w:rPr>
        <w:tab/>
        <w:t xml:space="preserve">išlaidos dėl finansinių įsipareigojimų vykdymo (paskolų grąžinimas) – </w:t>
      </w:r>
      <w:r w:rsidR="0092384D">
        <w:rPr>
          <w:sz w:val="24"/>
          <w:szCs w:val="24"/>
        </w:rPr>
        <w:t>5 282,8</w:t>
      </w:r>
      <w:r w:rsidRPr="00AB5D51">
        <w:rPr>
          <w:sz w:val="24"/>
          <w:szCs w:val="24"/>
        </w:rPr>
        <w:t xml:space="preserve"> tūkst. eurų</w:t>
      </w:r>
      <w:r w:rsidR="0092384D">
        <w:rPr>
          <w:sz w:val="24"/>
          <w:szCs w:val="24"/>
        </w:rPr>
        <w:t xml:space="preserve"> (iš jų – 1462,0 </w:t>
      </w:r>
      <w:r w:rsidR="0092384D" w:rsidRPr="0092384D">
        <w:rPr>
          <w:sz w:val="24"/>
          <w:szCs w:val="24"/>
        </w:rPr>
        <w:t>tūkst. eurų</w:t>
      </w:r>
      <w:r w:rsidR="0092384D">
        <w:rPr>
          <w:sz w:val="24"/>
          <w:szCs w:val="24"/>
        </w:rPr>
        <w:t xml:space="preserve"> – trumpalaikės paskolos, 3820,8 </w:t>
      </w:r>
      <w:r w:rsidR="0092384D" w:rsidRPr="0092384D">
        <w:rPr>
          <w:sz w:val="24"/>
          <w:szCs w:val="24"/>
        </w:rPr>
        <w:t>tūkst. eurų</w:t>
      </w:r>
      <w:r w:rsidR="0092384D">
        <w:rPr>
          <w:sz w:val="24"/>
          <w:szCs w:val="24"/>
        </w:rPr>
        <w:t xml:space="preserve"> – ilgalaikės paskolos) (2020</w:t>
      </w:r>
      <w:r w:rsidRPr="00AB5D51">
        <w:rPr>
          <w:sz w:val="24"/>
          <w:szCs w:val="24"/>
        </w:rPr>
        <w:t xml:space="preserve"> m. – </w:t>
      </w:r>
      <w:r w:rsidR="00F14FC1" w:rsidRPr="00F14FC1">
        <w:rPr>
          <w:sz w:val="24"/>
          <w:szCs w:val="24"/>
        </w:rPr>
        <w:t xml:space="preserve">1 170,7 </w:t>
      </w:r>
      <w:r w:rsidR="0008691B">
        <w:rPr>
          <w:sz w:val="24"/>
          <w:szCs w:val="24"/>
        </w:rPr>
        <w:t>tūkst. e</w:t>
      </w:r>
      <w:r w:rsidR="00712D0D">
        <w:rPr>
          <w:sz w:val="24"/>
          <w:szCs w:val="24"/>
        </w:rPr>
        <w:t>ur</w:t>
      </w:r>
      <w:r w:rsidR="0008691B">
        <w:rPr>
          <w:sz w:val="24"/>
          <w:szCs w:val="24"/>
        </w:rPr>
        <w:t>ų</w:t>
      </w:r>
      <w:r w:rsidR="0092384D">
        <w:rPr>
          <w:sz w:val="24"/>
          <w:szCs w:val="24"/>
        </w:rPr>
        <w:t xml:space="preserve"> ilgalaikių paskolų</w:t>
      </w:r>
      <w:r w:rsidRPr="00AB5D51">
        <w:rPr>
          <w:sz w:val="24"/>
          <w:szCs w:val="24"/>
        </w:rPr>
        <w:t>)</w:t>
      </w:r>
      <w:r w:rsidR="00712D0D">
        <w:rPr>
          <w:sz w:val="24"/>
          <w:szCs w:val="24"/>
        </w:rPr>
        <w:t>;</w:t>
      </w:r>
    </w:p>
    <w:p w:rsidR="00AB5D51" w:rsidRDefault="00AB5D51" w:rsidP="00CA33C6">
      <w:pPr>
        <w:ind w:firstLine="720"/>
        <w:jc w:val="both"/>
        <w:rPr>
          <w:sz w:val="24"/>
          <w:szCs w:val="24"/>
          <w:highlight w:val="yellow"/>
        </w:rPr>
      </w:pPr>
    </w:p>
    <w:p w:rsidR="001E6DB5" w:rsidRPr="001E6DB5" w:rsidRDefault="001E6DB5" w:rsidP="001E6DB5">
      <w:pPr>
        <w:ind w:firstLine="720"/>
        <w:jc w:val="both"/>
        <w:rPr>
          <w:sz w:val="24"/>
          <w:szCs w:val="24"/>
        </w:rPr>
      </w:pPr>
      <w:r>
        <w:rPr>
          <w:sz w:val="24"/>
          <w:szCs w:val="24"/>
        </w:rPr>
        <w:t>2021 metų</w:t>
      </w:r>
      <w:r w:rsidRPr="001E6DB5">
        <w:rPr>
          <w:sz w:val="24"/>
          <w:szCs w:val="24"/>
        </w:rPr>
        <w:t xml:space="preserve"> pabaigoje į valstybės biudžetą grąžinta 59,9 tūkst. eurų nepanaudotų lėšų:</w:t>
      </w:r>
    </w:p>
    <w:p w:rsidR="001E6DB5" w:rsidRPr="001E6DB5" w:rsidRDefault="001E6DB5" w:rsidP="001E6DB5">
      <w:pPr>
        <w:ind w:firstLine="720"/>
        <w:jc w:val="both"/>
        <w:rPr>
          <w:sz w:val="24"/>
          <w:szCs w:val="24"/>
        </w:rPr>
      </w:pPr>
      <w:r w:rsidRPr="001E6DB5">
        <w:rPr>
          <w:sz w:val="24"/>
          <w:szCs w:val="24"/>
        </w:rPr>
        <w:t xml:space="preserve">1. 32,3 tūkst. eurų - valstybinėms (perduotoms </w:t>
      </w:r>
      <w:r w:rsidR="00635E1D">
        <w:rPr>
          <w:sz w:val="24"/>
          <w:szCs w:val="24"/>
        </w:rPr>
        <w:t>S</w:t>
      </w:r>
      <w:r w:rsidRPr="001E6DB5">
        <w:rPr>
          <w:sz w:val="24"/>
          <w:szCs w:val="24"/>
        </w:rPr>
        <w:t xml:space="preserve">avivaldybei) funkcijoms vykdyti, iš jų:        </w:t>
      </w:r>
    </w:p>
    <w:p w:rsidR="001E6DB5" w:rsidRPr="001E6DB5" w:rsidRDefault="001E6DB5" w:rsidP="001E6DB5">
      <w:pPr>
        <w:ind w:firstLine="720"/>
        <w:jc w:val="both"/>
        <w:rPr>
          <w:sz w:val="24"/>
          <w:szCs w:val="24"/>
        </w:rPr>
      </w:pPr>
      <w:r w:rsidRPr="001E6DB5">
        <w:rPr>
          <w:sz w:val="24"/>
          <w:szCs w:val="24"/>
        </w:rPr>
        <w:t>1.1. 9,9 tūkst. eurų - socialinėms paslaugoms finansuoti;</w:t>
      </w:r>
    </w:p>
    <w:p w:rsidR="001E6DB5" w:rsidRPr="001E6DB5" w:rsidRDefault="001E6DB5" w:rsidP="001E6DB5">
      <w:pPr>
        <w:ind w:firstLine="720"/>
        <w:jc w:val="both"/>
        <w:rPr>
          <w:sz w:val="24"/>
          <w:szCs w:val="24"/>
        </w:rPr>
      </w:pPr>
      <w:r w:rsidRPr="001E6DB5">
        <w:rPr>
          <w:sz w:val="24"/>
          <w:szCs w:val="24"/>
        </w:rPr>
        <w:t>1.2. 13,6 tūkst. eurų - socialinei paramai mokiniams;</w:t>
      </w:r>
    </w:p>
    <w:p w:rsidR="001E6DB5" w:rsidRPr="001E6DB5" w:rsidRDefault="001E6DB5" w:rsidP="001E6DB5">
      <w:pPr>
        <w:ind w:firstLine="720"/>
        <w:jc w:val="both"/>
        <w:rPr>
          <w:sz w:val="24"/>
          <w:szCs w:val="24"/>
        </w:rPr>
      </w:pPr>
      <w:r w:rsidRPr="001E6DB5">
        <w:rPr>
          <w:sz w:val="24"/>
          <w:szCs w:val="24"/>
        </w:rPr>
        <w:t>1.3. 7,5 tūkst. eurų - socialinėms išmokoms ir kompensacijoms skaičiuoti ir mokėti;</w:t>
      </w:r>
    </w:p>
    <w:p w:rsidR="001E6DB5" w:rsidRPr="001E6DB5" w:rsidRDefault="001E6DB5" w:rsidP="001E6DB5">
      <w:pPr>
        <w:ind w:firstLine="720"/>
        <w:jc w:val="both"/>
        <w:rPr>
          <w:sz w:val="24"/>
          <w:szCs w:val="24"/>
        </w:rPr>
      </w:pPr>
      <w:r w:rsidRPr="001E6DB5">
        <w:rPr>
          <w:sz w:val="24"/>
          <w:szCs w:val="24"/>
        </w:rPr>
        <w:t>1.4. 0,8 tūkst.</w:t>
      </w:r>
      <w:r w:rsidR="00701AA5">
        <w:rPr>
          <w:sz w:val="24"/>
          <w:szCs w:val="24"/>
        </w:rPr>
        <w:t xml:space="preserve"> </w:t>
      </w:r>
      <w:r w:rsidRPr="001E6DB5">
        <w:rPr>
          <w:sz w:val="24"/>
          <w:szCs w:val="24"/>
        </w:rPr>
        <w:t>eurų – būsto nuomos mokesčio daliai kompensuoti;</w:t>
      </w:r>
    </w:p>
    <w:p w:rsidR="001E6DB5" w:rsidRPr="001E6DB5" w:rsidRDefault="001E6DB5" w:rsidP="001E6DB5">
      <w:pPr>
        <w:ind w:firstLine="720"/>
        <w:jc w:val="both"/>
        <w:rPr>
          <w:sz w:val="24"/>
          <w:szCs w:val="24"/>
        </w:rPr>
      </w:pPr>
      <w:r w:rsidRPr="001E6DB5">
        <w:rPr>
          <w:sz w:val="24"/>
          <w:szCs w:val="24"/>
        </w:rPr>
        <w:t>1.5. 0,1 tūkst.</w:t>
      </w:r>
      <w:r w:rsidR="00701AA5">
        <w:rPr>
          <w:sz w:val="24"/>
          <w:szCs w:val="24"/>
        </w:rPr>
        <w:t xml:space="preserve"> </w:t>
      </w:r>
      <w:r w:rsidRPr="001E6DB5">
        <w:rPr>
          <w:sz w:val="24"/>
          <w:szCs w:val="24"/>
        </w:rPr>
        <w:t>eurų žemės ūkio funkcijai vykdyti;</w:t>
      </w:r>
    </w:p>
    <w:p w:rsidR="001E6DB5" w:rsidRPr="001E6DB5" w:rsidRDefault="001E6DB5" w:rsidP="001E6DB5">
      <w:pPr>
        <w:ind w:firstLine="720"/>
        <w:jc w:val="both"/>
        <w:rPr>
          <w:sz w:val="24"/>
          <w:szCs w:val="24"/>
        </w:rPr>
      </w:pPr>
      <w:r w:rsidRPr="001E6DB5">
        <w:rPr>
          <w:sz w:val="24"/>
          <w:szCs w:val="24"/>
        </w:rPr>
        <w:t>1.6. 0,2 tūkst.</w:t>
      </w:r>
      <w:r w:rsidR="00701AA5">
        <w:rPr>
          <w:sz w:val="24"/>
          <w:szCs w:val="24"/>
        </w:rPr>
        <w:t xml:space="preserve"> </w:t>
      </w:r>
      <w:r w:rsidRPr="001E6DB5">
        <w:rPr>
          <w:sz w:val="24"/>
          <w:szCs w:val="24"/>
        </w:rPr>
        <w:t>eurų – vykdyti neveiksnių asmenų būklės peržiūrėjimo funkciją;</w:t>
      </w:r>
    </w:p>
    <w:p w:rsidR="001E6DB5" w:rsidRPr="001E6DB5" w:rsidRDefault="001E6DB5" w:rsidP="001E6DB5">
      <w:pPr>
        <w:ind w:firstLine="720"/>
        <w:jc w:val="both"/>
        <w:rPr>
          <w:sz w:val="24"/>
          <w:szCs w:val="24"/>
        </w:rPr>
      </w:pPr>
      <w:r w:rsidRPr="001E6DB5">
        <w:rPr>
          <w:sz w:val="24"/>
          <w:szCs w:val="24"/>
        </w:rPr>
        <w:t>1.7. kitų valstybinėms (perduotoms savivaldybei) funkcijoms vykdyti lėšų grąžinta 0,2 tūkst. eurų.</w:t>
      </w:r>
    </w:p>
    <w:p w:rsidR="001E6DB5" w:rsidRPr="001E6DB5" w:rsidRDefault="001E6DB5" w:rsidP="001E6DB5">
      <w:pPr>
        <w:ind w:firstLine="720"/>
        <w:jc w:val="both"/>
        <w:rPr>
          <w:sz w:val="24"/>
          <w:szCs w:val="24"/>
        </w:rPr>
      </w:pPr>
      <w:r w:rsidRPr="001E6DB5">
        <w:rPr>
          <w:sz w:val="24"/>
          <w:szCs w:val="24"/>
        </w:rPr>
        <w:t>2. Mokinio krepšelio lėšų grąžinta 1,5 tūkst. eurų.</w:t>
      </w:r>
    </w:p>
    <w:p w:rsidR="001E6DB5" w:rsidRPr="001E6DB5" w:rsidRDefault="001E6DB5" w:rsidP="001E6DB5">
      <w:pPr>
        <w:ind w:firstLine="720"/>
        <w:jc w:val="both"/>
        <w:rPr>
          <w:sz w:val="24"/>
          <w:szCs w:val="24"/>
        </w:rPr>
      </w:pPr>
      <w:r w:rsidRPr="001E6DB5">
        <w:rPr>
          <w:sz w:val="24"/>
          <w:szCs w:val="24"/>
        </w:rPr>
        <w:t>3. Kitų tikslinių dotacijų – 26,1 tūkst. eurų. Iš jų:</w:t>
      </w:r>
    </w:p>
    <w:p w:rsidR="001E6DB5" w:rsidRPr="001E6DB5" w:rsidRDefault="001E6DB5" w:rsidP="001E6DB5">
      <w:pPr>
        <w:ind w:firstLine="720"/>
        <w:jc w:val="both"/>
        <w:rPr>
          <w:sz w:val="24"/>
          <w:szCs w:val="24"/>
        </w:rPr>
      </w:pPr>
      <w:r w:rsidRPr="001E6DB5">
        <w:rPr>
          <w:sz w:val="24"/>
          <w:szCs w:val="24"/>
        </w:rPr>
        <w:t>3.1. dėl konsultacijų mokiniams, patiriantiems mokymosi sunkumų – 1,3 tūkst. eurų;</w:t>
      </w:r>
    </w:p>
    <w:p w:rsidR="001E6DB5" w:rsidRPr="001E6DB5" w:rsidRDefault="001E6DB5" w:rsidP="001E6DB5">
      <w:pPr>
        <w:ind w:firstLine="720"/>
        <w:jc w:val="both"/>
        <w:rPr>
          <w:sz w:val="24"/>
          <w:szCs w:val="24"/>
        </w:rPr>
      </w:pPr>
      <w:r w:rsidRPr="001E6DB5">
        <w:rPr>
          <w:sz w:val="24"/>
          <w:szCs w:val="24"/>
        </w:rPr>
        <w:t>3.2. išlaidoms, susijusioms su pedagoginių darbuotojų skaičiaus optimizavimu, apmokėti – 1,3 tūkst. eurų;</w:t>
      </w:r>
    </w:p>
    <w:p w:rsidR="001E6DB5" w:rsidRPr="001E6DB5" w:rsidRDefault="001E6DB5" w:rsidP="001E6DB5">
      <w:pPr>
        <w:ind w:firstLine="720"/>
        <w:jc w:val="both"/>
        <w:rPr>
          <w:sz w:val="24"/>
          <w:szCs w:val="24"/>
        </w:rPr>
      </w:pPr>
      <w:r w:rsidRPr="001E6DB5">
        <w:rPr>
          <w:sz w:val="24"/>
          <w:szCs w:val="24"/>
        </w:rPr>
        <w:t>3.3. lėšos konsultacijoms, skirtoms mokinių mokymosi praradimams kompensuoti – 16,5 tūkst. eurų;</w:t>
      </w:r>
    </w:p>
    <w:p w:rsidR="001E6DB5" w:rsidRPr="001E6DB5" w:rsidRDefault="001E6DB5" w:rsidP="001E6DB5">
      <w:pPr>
        <w:ind w:firstLine="720"/>
        <w:jc w:val="both"/>
        <w:rPr>
          <w:sz w:val="24"/>
          <w:szCs w:val="24"/>
        </w:rPr>
      </w:pPr>
      <w:r w:rsidRPr="001E6DB5">
        <w:rPr>
          <w:sz w:val="24"/>
          <w:szCs w:val="24"/>
        </w:rPr>
        <w:t>3.4. mokinių, pasirinkusių laikyti brandos egzaminus 2021 m., konsultacijoms – 1,1 tūkst. eurų;</w:t>
      </w:r>
    </w:p>
    <w:p w:rsidR="001E6DB5" w:rsidRPr="001E6DB5" w:rsidRDefault="001E6DB5" w:rsidP="001E6DB5">
      <w:pPr>
        <w:ind w:firstLine="720"/>
        <w:jc w:val="both"/>
        <w:rPr>
          <w:sz w:val="24"/>
          <w:szCs w:val="24"/>
        </w:rPr>
      </w:pPr>
      <w:r w:rsidRPr="001E6DB5">
        <w:rPr>
          <w:sz w:val="24"/>
          <w:szCs w:val="24"/>
        </w:rPr>
        <w:t>3.5. naujoms mokytojų padėjėjų pareigybėms savivaldybėse ir valstybinėse mokyklose 2021 m. įsteigti – 3,4 tūkst. eurų;</w:t>
      </w:r>
    </w:p>
    <w:p w:rsidR="001E6DB5" w:rsidRPr="001E6DB5" w:rsidRDefault="001E6DB5" w:rsidP="001E6DB5">
      <w:pPr>
        <w:ind w:firstLine="720"/>
        <w:jc w:val="both"/>
        <w:rPr>
          <w:sz w:val="24"/>
          <w:szCs w:val="24"/>
        </w:rPr>
      </w:pPr>
      <w:r w:rsidRPr="001E6DB5">
        <w:rPr>
          <w:sz w:val="24"/>
          <w:szCs w:val="24"/>
        </w:rPr>
        <w:t>3.6. neformaliajam vaikų švietimui – 2,2 tūkst. eurų;</w:t>
      </w:r>
    </w:p>
    <w:p w:rsidR="001E6DB5" w:rsidRPr="001E6DB5" w:rsidRDefault="001E6DB5" w:rsidP="001E6DB5">
      <w:pPr>
        <w:ind w:firstLine="720"/>
        <w:jc w:val="both"/>
        <w:rPr>
          <w:sz w:val="24"/>
          <w:szCs w:val="24"/>
        </w:rPr>
      </w:pPr>
      <w:r w:rsidRPr="001E6DB5">
        <w:rPr>
          <w:sz w:val="24"/>
          <w:szCs w:val="24"/>
        </w:rPr>
        <w:t>3.7. skaitmeninio ugdymo plėtrai – 0,2 tūkst. eurų;</w:t>
      </w:r>
    </w:p>
    <w:p w:rsidR="00114CFC" w:rsidRPr="00AB5D51" w:rsidRDefault="001E6DB5" w:rsidP="001E6DB5">
      <w:pPr>
        <w:ind w:firstLine="720"/>
        <w:jc w:val="both"/>
        <w:rPr>
          <w:sz w:val="24"/>
          <w:szCs w:val="24"/>
        </w:rPr>
      </w:pPr>
      <w:r w:rsidRPr="001E6DB5">
        <w:rPr>
          <w:sz w:val="24"/>
          <w:szCs w:val="24"/>
        </w:rPr>
        <w:t>3.8. kitos dotacijos - 0,1 tūkst. eurų.</w:t>
      </w:r>
      <w:r w:rsidR="0092384D">
        <w:rPr>
          <w:sz w:val="24"/>
          <w:szCs w:val="24"/>
        </w:rPr>
        <w:t>2021</w:t>
      </w:r>
      <w:r w:rsidR="009B7F45" w:rsidRPr="00AB5D51">
        <w:rPr>
          <w:sz w:val="24"/>
          <w:szCs w:val="24"/>
        </w:rPr>
        <w:t xml:space="preserve"> </w:t>
      </w:r>
      <w:r w:rsidR="0092384D">
        <w:rPr>
          <w:sz w:val="24"/>
          <w:szCs w:val="24"/>
        </w:rPr>
        <w:t>metų pradžioje nepanaudotas 2020</w:t>
      </w:r>
      <w:r w:rsidR="009B7F45" w:rsidRPr="00AB5D51">
        <w:rPr>
          <w:sz w:val="24"/>
          <w:szCs w:val="24"/>
        </w:rPr>
        <w:t xml:space="preserve"> metų biudžeto lėšų likutis buvo </w:t>
      </w:r>
      <w:r>
        <w:rPr>
          <w:sz w:val="24"/>
          <w:szCs w:val="24"/>
        </w:rPr>
        <w:t>2 746,7</w:t>
      </w:r>
      <w:r w:rsidR="000A52C8" w:rsidRPr="00AB5D51">
        <w:rPr>
          <w:sz w:val="24"/>
          <w:szCs w:val="24"/>
        </w:rPr>
        <w:t xml:space="preserve"> tūkst. </w:t>
      </w:r>
      <w:r w:rsidR="00712D0D">
        <w:rPr>
          <w:sz w:val="24"/>
          <w:szCs w:val="24"/>
        </w:rPr>
        <w:t>e</w:t>
      </w:r>
      <w:r w:rsidR="000A52C8" w:rsidRPr="00AB5D51">
        <w:rPr>
          <w:sz w:val="24"/>
          <w:szCs w:val="24"/>
        </w:rPr>
        <w:t>urų</w:t>
      </w:r>
    </w:p>
    <w:p w:rsidR="000A52C8" w:rsidRPr="00AB5D51" w:rsidRDefault="000A52C8" w:rsidP="00FA4DF9">
      <w:pPr>
        <w:ind w:firstLine="720"/>
        <w:jc w:val="both"/>
        <w:rPr>
          <w:sz w:val="24"/>
          <w:szCs w:val="24"/>
        </w:rPr>
      </w:pPr>
    </w:p>
    <w:p w:rsidR="00E7495D" w:rsidRPr="00ED5612" w:rsidRDefault="00FA4DF9" w:rsidP="00FA4DF9">
      <w:pPr>
        <w:ind w:firstLine="720"/>
        <w:jc w:val="both"/>
        <w:rPr>
          <w:sz w:val="24"/>
          <w:szCs w:val="24"/>
        </w:rPr>
      </w:pPr>
      <w:r w:rsidRPr="00AB5D51">
        <w:rPr>
          <w:sz w:val="24"/>
          <w:szCs w:val="24"/>
        </w:rPr>
        <w:t xml:space="preserve">Ketverių </w:t>
      </w:r>
      <w:r w:rsidR="008C5C6F" w:rsidRPr="00AB5D51">
        <w:rPr>
          <w:sz w:val="24"/>
          <w:szCs w:val="24"/>
        </w:rPr>
        <w:t xml:space="preserve">metų </w:t>
      </w:r>
      <w:r w:rsidR="00F859BD">
        <w:rPr>
          <w:sz w:val="24"/>
          <w:szCs w:val="24"/>
        </w:rPr>
        <w:t>išlaidų</w:t>
      </w:r>
      <w:r w:rsidR="000000DB" w:rsidRPr="00AB5D51">
        <w:rPr>
          <w:sz w:val="24"/>
          <w:szCs w:val="24"/>
        </w:rPr>
        <w:t xml:space="preserve"> </w:t>
      </w:r>
      <w:r w:rsidR="008C5C6F" w:rsidRPr="00AB5D51">
        <w:rPr>
          <w:sz w:val="24"/>
          <w:szCs w:val="24"/>
        </w:rPr>
        <w:t>dinamika</w:t>
      </w:r>
      <w:r w:rsidR="00854958" w:rsidRPr="00AB5D51">
        <w:rPr>
          <w:sz w:val="24"/>
          <w:szCs w:val="24"/>
        </w:rPr>
        <w:t xml:space="preserve"> (mln. eurų)</w:t>
      </w:r>
      <w:r w:rsidR="008C5C6F" w:rsidRPr="00AB5D51">
        <w:rPr>
          <w:sz w:val="24"/>
          <w:szCs w:val="24"/>
        </w:rPr>
        <w:t>, analizuojant plano įvykdymą, pava</w:t>
      </w:r>
      <w:r w:rsidR="0009708F" w:rsidRPr="00AB5D51">
        <w:rPr>
          <w:sz w:val="24"/>
          <w:szCs w:val="24"/>
        </w:rPr>
        <w:t>izduota 5</w:t>
      </w:r>
      <w:r w:rsidR="008C5C6F" w:rsidRPr="00AB5D51">
        <w:rPr>
          <w:sz w:val="24"/>
          <w:szCs w:val="24"/>
        </w:rPr>
        <w:t xml:space="preserve"> paveiksle.</w:t>
      </w:r>
      <w:r w:rsidR="008C5C6F" w:rsidRPr="00ED5612">
        <w:rPr>
          <w:sz w:val="24"/>
          <w:szCs w:val="24"/>
        </w:rPr>
        <w:t xml:space="preserve">    </w:t>
      </w:r>
    </w:p>
    <w:p w:rsidR="00C81F97" w:rsidRPr="009F7D43" w:rsidRDefault="00854958" w:rsidP="00335558">
      <w:pPr>
        <w:rPr>
          <w:sz w:val="24"/>
          <w:szCs w:val="24"/>
        </w:rPr>
      </w:pPr>
      <w:r w:rsidRPr="00C63A1B">
        <w:rPr>
          <w:noProof/>
          <w:color w:val="D9D9D9" w:themeColor="background1" w:themeShade="D9"/>
          <w:sz w:val="24"/>
          <w:szCs w:val="24"/>
          <w:lang w:eastAsia="lt-LT"/>
        </w:rPr>
        <w:drawing>
          <wp:inline distT="0" distB="0" distL="0" distR="0" wp14:anchorId="0D4361F2" wp14:editId="6D112853">
            <wp:extent cx="5896191" cy="2762655"/>
            <wp:effectExtent l="0" t="0" r="0" b="0"/>
            <wp:docPr id="17" name="Diagrama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000DB" w:rsidRPr="00AB5D51" w:rsidRDefault="000000DB" w:rsidP="00C56087">
      <w:pPr>
        <w:rPr>
          <w:b/>
          <w:sz w:val="24"/>
          <w:szCs w:val="24"/>
        </w:rPr>
      </w:pPr>
      <w:r w:rsidRPr="00ED5612">
        <w:rPr>
          <w:sz w:val="24"/>
          <w:szCs w:val="24"/>
        </w:rPr>
        <w:t xml:space="preserve">     </w:t>
      </w:r>
      <w:r w:rsidR="0009708F" w:rsidRPr="00AB5D51">
        <w:rPr>
          <w:b/>
          <w:sz w:val="24"/>
          <w:szCs w:val="24"/>
        </w:rPr>
        <w:t>5</w:t>
      </w:r>
      <w:r w:rsidR="00FA7C52" w:rsidRPr="00AB5D51">
        <w:rPr>
          <w:b/>
          <w:sz w:val="24"/>
          <w:szCs w:val="24"/>
        </w:rPr>
        <w:t xml:space="preserve"> </w:t>
      </w:r>
      <w:r w:rsidR="00EE1B6B" w:rsidRPr="00AB5D51">
        <w:rPr>
          <w:b/>
          <w:sz w:val="24"/>
          <w:szCs w:val="24"/>
        </w:rPr>
        <w:t>pav. Plungės r</w:t>
      </w:r>
      <w:r w:rsidR="00B0603F" w:rsidRPr="00AB5D51">
        <w:rPr>
          <w:b/>
          <w:sz w:val="24"/>
          <w:szCs w:val="24"/>
        </w:rPr>
        <w:t>ajono s</w:t>
      </w:r>
      <w:r w:rsidR="00E913DE">
        <w:rPr>
          <w:b/>
          <w:sz w:val="24"/>
          <w:szCs w:val="24"/>
        </w:rPr>
        <w:t>avivaldybės biudžeto 2017</w:t>
      </w:r>
      <w:r w:rsidR="00C63A1B">
        <w:rPr>
          <w:b/>
          <w:sz w:val="24"/>
          <w:szCs w:val="24"/>
        </w:rPr>
        <w:t xml:space="preserve"> – 2021</w:t>
      </w:r>
      <w:r w:rsidR="00EE1B6B" w:rsidRPr="00AB5D51">
        <w:rPr>
          <w:b/>
          <w:sz w:val="24"/>
          <w:szCs w:val="24"/>
        </w:rPr>
        <w:t xml:space="preserve"> metų išlaidų dinamika, mln. eurų</w:t>
      </w:r>
    </w:p>
    <w:p w:rsidR="00E7495D" w:rsidRPr="00AB5D51" w:rsidRDefault="000000DB" w:rsidP="003E1DC9">
      <w:pPr>
        <w:jc w:val="both"/>
        <w:rPr>
          <w:sz w:val="24"/>
          <w:szCs w:val="24"/>
        </w:rPr>
      </w:pPr>
      <w:r w:rsidRPr="00E4282F">
        <w:rPr>
          <w:sz w:val="24"/>
          <w:szCs w:val="24"/>
          <w:highlight w:val="yellow"/>
        </w:rPr>
        <w:t xml:space="preserve">        </w:t>
      </w:r>
    </w:p>
    <w:p w:rsidR="00D45A3B" w:rsidRPr="009F7D43" w:rsidRDefault="004B07BD" w:rsidP="00C055F8">
      <w:pPr>
        <w:ind w:firstLine="720"/>
        <w:jc w:val="both"/>
        <w:rPr>
          <w:sz w:val="24"/>
          <w:szCs w:val="24"/>
        </w:rPr>
      </w:pPr>
      <w:r w:rsidRPr="00AB5D51">
        <w:rPr>
          <w:sz w:val="24"/>
          <w:szCs w:val="24"/>
        </w:rPr>
        <w:t>S</w:t>
      </w:r>
      <w:r w:rsidR="00F918B6">
        <w:rPr>
          <w:sz w:val="24"/>
          <w:szCs w:val="24"/>
        </w:rPr>
        <w:t>avivaldybės biudžeto 2018</w:t>
      </w:r>
      <w:r w:rsidR="00635E1D">
        <w:rPr>
          <w:sz w:val="24"/>
          <w:szCs w:val="24"/>
        </w:rPr>
        <w:t>-</w:t>
      </w:r>
      <w:r w:rsidR="00F918B6">
        <w:rPr>
          <w:sz w:val="24"/>
          <w:szCs w:val="24"/>
        </w:rPr>
        <w:t>2021</w:t>
      </w:r>
      <w:r w:rsidR="00B816FE" w:rsidRPr="00AB5D51">
        <w:rPr>
          <w:sz w:val="24"/>
          <w:szCs w:val="24"/>
        </w:rPr>
        <w:t xml:space="preserve"> metų </w:t>
      </w:r>
      <w:r w:rsidR="00F918B6">
        <w:rPr>
          <w:sz w:val="24"/>
          <w:szCs w:val="24"/>
        </w:rPr>
        <w:t>asignavimų</w:t>
      </w:r>
      <w:r w:rsidR="0084625A" w:rsidRPr="00AB5D51">
        <w:rPr>
          <w:sz w:val="24"/>
          <w:szCs w:val="24"/>
        </w:rPr>
        <w:t xml:space="preserve"> pokytis</w:t>
      </w:r>
      <w:r w:rsidR="00EE1B6B" w:rsidRPr="00AB5D51">
        <w:rPr>
          <w:sz w:val="24"/>
          <w:szCs w:val="24"/>
        </w:rPr>
        <w:t>, analizuojant plano įvykdymą pagal ekonominį paskirstymą,</w:t>
      </w:r>
      <w:r w:rsidR="00BD4AD2" w:rsidRPr="00AB5D51">
        <w:rPr>
          <w:sz w:val="24"/>
          <w:szCs w:val="24"/>
        </w:rPr>
        <w:t xml:space="preserve"> </w:t>
      </w:r>
      <w:r w:rsidR="00EE1B6B" w:rsidRPr="00AB5D51">
        <w:rPr>
          <w:sz w:val="24"/>
          <w:szCs w:val="24"/>
        </w:rPr>
        <w:t>pavaizduot</w:t>
      </w:r>
      <w:r w:rsidR="004F75EB">
        <w:rPr>
          <w:sz w:val="24"/>
          <w:szCs w:val="24"/>
        </w:rPr>
        <w:t>as</w:t>
      </w:r>
      <w:r w:rsidR="00BD4AD2" w:rsidRPr="00AB5D51">
        <w:rPr>
          <w:sz w:val="24"/>
          <w:szCs w:val="24"/>
        </w:rPr>
        <w:t xml:space="preserve"> </w:t>
      </w:r>
      <w:r w:rsidR="0009708F" w:rsidRPr="00AB5D51">
        <w:rPr>
          <w:sz w:val="24"/>
          <w:szCs w:val="24"/>
        </w:rPr>
        <w:t>6</w:t>
      </w:r>
      <w:r w:rsidR="00EE1B6B" w:rsidRPr="00AB5D51">
        <w:rPr>
          <w:sz w:val="24"/>
          <w:szCs w:val="24"/>
        </w:rPr>
        <w:t xml:space="preserve"> paveiksle.</w:t>
      </w:r>
      <w:r w:rsidR="00EE1B6B" w:rsidRPr="00ED5612">
        <w:rPr>
          <w:sz w:val="24"/>
          <w:szCs w:val="24"/>
        </w:rPr>
        <w:t xml:space="preserve">  </w:t>
      </w:r>
    </w:p>
    <w:p w:rsidR="00AB5D51" w:rsidRPr="00AB5D51" w:rsidRDefault="00E913DE" w:rsidP="00C22B92">
      <w:pPr>
        <w:jc w:val="center"/>
        <w:rPr>
          <w:sz w:val="24"/>
          <w:szCs w:val="24"/>
        </w:rPr>
      </w:pPr>
      <w:r>
        <w:rPr>
          <w:noProof/>
          <w:lang w:eastAsia="lt-LT"/>
        </w:rPr>
        <w:lastRenderedPageBreak/>
        <w:drawing>
          <wp:inline distT="0" distB="0" distL="0" distR="0" wp14:anchorId="5A452FEB" wp14:editId="2699B4D0">
            <wp:extent cx="5769731" cy="3414409"/>
            <wp:effectExtent l="0" t="0" r="0" b="0"/>
            <wp:docPr id="4" name="Diagrama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22B92" w:rsidRDefault="00C22B92" w:rsidP="00F918B6">
      <w:pPr>
        <w:ind w:firstLine="720"/>
        <w:jc w:val="center"/>
        <w:rPr>
          <w:b/>
          <w:sz w:val="24"/>
          <w:szCs w:val="24"/>
        </w:rPr>
      </w:pPr>
    </w:p>
    <w:p w:rsidR="00F918B6" w:rsidRPr="00F918B6" w:rsidRDefault="00F918B6" w:rsidP="00F918B6">
      <w:pPr>
        <w:ind w:firstLine="720"/>
        <w:jc w:val="center"/>
        <w:rPr>
          <w:b/>
          <w:sz w:val="24"/>
          <w:szCs w:val="24"/>
        </w:rPr>
      </w:pPr>
      <w:r>
        <w:rPr>
          <w:b/>
          <w:sz w:val="24"/>
          <w:szCs w:val="24"/>
        </w:rPr>
        <w:t>6 pav. 2018</w:t>
      </w:r>
      <w:r w:rsidR="00D00A1D">
        <w:rPr>
          <w:b/>
          <w:sz w:val="24"/>
          <w:szCs w:val="24"/>
        </w:rPr>
        <w:t>-</w:t>
      </w:r>
      <w:r>
        <w:rPr>
          <w:b/>
          <w:sz w:val="24"/>
          <w:szCs w:val="24"/>
        </w:rPr>
        <w:t>2021</w:t>
      </w:r>
      <w:r w:rsidRPr="00F918B6">
        <w:rPr>
          <w:b/>
          <w:sz w:val="24"/>
          <w:szCs w:val="24"/>
        </w:rPr>
        <w:t xml:space="preserve"> metų </w:t>
      </w:r>
      <w:r>
        <w:rPr>
          <w:b/>
          <w:sz w:val="24"/>
          <w:szCs w:val="24"/>
        </w:rPr>
        <w:t>asignavimų</w:t>
      </w:r>
      <w:r w:rsidRPr="00F918B6">
        <w:rPr>
          <w:b/>
          <w:sz w:val="24"/>
          <w:szCs w:val="24"/>
        </w:rPr>
        <w:t xml:space="preserve"> (mln. eurų) pagal ekonominį paskirstymą</w:t>
      </w:r>
    </w:p>
    <w:p w:rsidR="00F918B6" w:rsidRPr="00F918B6" w:rsidRDefault="00F918B6" w:rsidP="00F918B6">
      <w:pPr>
        <w:ind w:firstLine="720"/>
        <w:jc w:val="center"/>
        <w:rPr>
          <w:b/>
          <w:sz w:val="24"/>
          <w:szCs w:val="24"/>
        </w:rPr>
      </w:pPr>
    </w:p>
    <w:p w:rsidR="001E6DB5" w:rsidRDefault="001E6DB5" w:rsidP="007E50C3">
      <w:pPr>
        <w:ind w:firstLine="720"/>
        <w:jc w:val="both"/>
        <w:rPr>
          <w:sz w:val="24"/>
          <w:szCs w:val="24"/>
        </w:rPr>
      </w:pPr>
      <w:r w:rsidRPr="001E6DB5">
        <w:rPr>
          <w:sz w:val="24"/>
          <w:szCs w:val="24"/>
        </w:rPr>
        <w:t xml:space="preserve">Nuo 2017 metų Savivaldybės biudžete apskaitomos Europos Sąjungos finansinės paramos lėšos. Padidėjus biudžetui, atsirado galimybė skirti daugiau lėšų prisidėti prie projektų, vykdomų iš Savivaldybės ir ES lėšų – iš </w:t>
      </w:r>
      <w:proofErr w:type="spellStart"/>
      <w:r w:rsidRPr="001E6DB5">
        <w:rPr>
          <w:sz w:val="24"/>
          <w:szCs w:val="24"/>
        </w:rPr>
        <w:t>savarankiškųjų</w:t>
      </w:r>
      <w:proofErr w:type="spellEnd"/>
      <w:r w:rsidRPr="001E6DB5">
        <w:rPr>
          <w:sz w:val="24"/>
          <w:szCs w:val="24"/>
        </w:rPr>
        <w:t xml:space="preserve"> funkcijų</w:t>
      </w:r>
      <w:r w:rsidR="00C055F8">
        <w:rPr>
          <w:sz w:val="24"/>
          <w:szCs w:val="24"/>
        </w:rPr>
        <w:t>.</w:t>
      </w:r>
      <w:r w:rsidRPr="001E6DB5">
        <w:rPr>
          <w:sz w:val="24"/>
          <w:szCs w:val="24"/>
        </w:rPr>
        <w:t xml:space="preserve"> Taip pat daugiau lėšų buvo skirta priemonei „Savivaldybės infrastruktūros objektų planavimas, priežiūra ir statyba“. 2020 metais priemonei „Savivaldybės vietinės reikšmės keliams (gatvėms) tiesti, rekonstruoti, taisyti (remontuoti), prižiūrėti ir saugaus eismo sąlygoms užtikrinti“ buvo skirta beveik 5 mln. eurų dotacija, kai kitais 2017</w:t>
      </w:r>
      <w:r w:rsidR="00635E1D">
        <w:rPr>
          <w:sz w:val="24"/>
          <w:szCs w:val="24"/>
        </w:rPr>
        <w:t>-</w:t>
      </w:r>
      <w:r w:rsidRPr="001E6DB5">
        <w:rPr>
          <w:sz w:val="24"/>
          <w:szCs w:val="24"/>
        </w:rPr>
        <w:t>2019 metais buvo s</w:t>
      </w:r>
      <w:r w:rsidR="00916BC5">
        <w:rPr>
          <w:sz w:val="24"/>
          <w:szCs w:val="24"/>
        </w:rPr>
        <w:t>kiriama apie 1,3-3,0 mln. eurų, 2021 metais šiai priemonei skirta apie 2,6 mln. eurų.</w:t>
      </w:r>
      <w:r w:rsidRPr="001E6DB5">
        <w:rPr>
          <w:sz w:val="24"/>
          <w:szCs w:val="24"/>
        </w:rPr>
        <w:t xml:space="preserve"> </w:t>
      </w:r>
    </w:p>
    <w:p w:rsidR="0084625A" w:rsidRPr="00AB5D51" w:rsidRDefault="004B07BD" w:rsidP="007E50C3">
      <w:pPr>
        <w:ind w:firstLine="720"/>
        <w:jc w:val="both"/>
        <w:rPr>
          <w:sz w:val="24"/>
          <w:szCs w:val="24"/>
        </w:rPr>
      </w:pPr>
      <w:r w:rsidRPr="00AB5D51">
        <w:rPr>
          <w:sz w:val="24"/>
          <w:szCs w:val="24"/>
        </w:rPr>
        <w:t xml:space="preserve">Didžiausią </w:t>
      </w:r>
      <w:r w:rsidR="001B1081">
        <w:rPr>
          <w:sz w:val="24"/>
          <w:szCs w:val="24"/>
        </w:rPr>
        <w:t>asignavimų</w:t>
      </w:r>
      <w:r w:rsidRPr="00AB5D51">
        <w:rPr>
          <w:sz w:val="24"/>
          <w:szCs w:val="24"/>
        </w:rPr>
        <w:t xml:space="preserve"> dalį </w:t>
      </w:r>
      <w:r w:rsidR="0084625A" w:rsidRPr="00AB5D51">
        <w:rPr>
          <w:sz w:val="24"/>
          <w:szCs w:val="24"/>
        </w:rPr>
        <w:t>Saviva</w:t>
      </w:r>
      <w:r w:rsidR="00701AA5">
        <w:rPr>
          <w:sz w:val="24"/>
          <w:szCs w:val="24"/>
        </w:rPr>
        <w:t>l</w:t>
      </w:r>
      <w:r w:rsidR="0084625A" w:rsidRPr="00AB5D51">
        <w:rPr>
          <w:sz w:val="24"/>
          <w:szCs w:val="24"/>
        </w:rPr>
        <w:t>dybės biudžete sudaro darbo užmokestis su socialinio draudimo įmoko</w:t>
      </w:r>
      <w:r w:rsidR="0008691B">
        <w:rPr>
          <w:sz w:val="24"/>
          <w:szCs w:val="24"/>
        </w:rPr>
        <w:t>mi</w:t>
      </w:r>
      <w:r w:rsidR="0084625A" w:rsidRPr="00AB5D51">
        <w:rPr>
          <w:sz w:val="24"/>
          <w:szCs w:val="24"/>
        </w:rPr>
        <w:t xml:space="preserve">s. </w:t>
      </w:r>
    </w:p>
    <w:p w:rsidR="009263B5" w:rsidRPr="00AB5D51" w:rsidRDefault="0023043A" w:rsidP="00343009">
      <w:pPr>
        <w:ind w:firstLine="720"/>
        <w:jc w:val="both"/>
        <w:rPr>
          <w:sz w:val="24"/>
          <w:szCs w:val="24"/>
        </w:rPr>
      </w:pPr>
      <w:r w:rsidRPr="00AB5D51">
        <w:rPr>
          <w:sz w:val="24"/>
          <w:szCs w:val="24"/>
        </w:rPr>
        <w:t xml:space="preserve">2019 metais darbo užmokestis su soc. draudimo įmokomis didėjo </w:t>
      </w:r>
      <w:r w:rsidR="00BE7BD6">
        <w:rPr>
          <w:sz w:val="24"/>
          <w:szCs w:val="24"/>
        </w:rPr>
        <w:t>1,8</w:t>
      </w:r>
      <w:r w:rsidRPr="00AB5D51">
        <w:rPr>
          <w:sz w:val="24"/>
          <w:szCs w:val="24"/>
        </w:rPr>
        <w:t xml:space="preserve"> mln. eurų, palyginti su 2018 metais. </w:t>
      </w:r>
      <w:r w:rsidR="00B371D6" w:rsidRPr="00AB5D51">
        <w:rPr>
          <w:sz w:val="24"/>
          <w:szCs w:val="24"/>
        </w:rPr>
        <w:t xml:space="preserve">2020 metais, </w:t>
      </w:r>
      <w:r w:rsidR="000F52C2">
        <w:rPr>
          <w:sz w:val="24"/>
          <w:szCs w:val="24"/>
        </w:rPr>
        <w:t>pa</w:t>
      </w:r>
      <w:r w:rsidR="00B371D6" w:rsidRPr="00AB5D51">
        <w:rPr>
          <w:sz w:val="24"/>
          <w:szCs w:val="24"/>
        </w:rPr>
        <w:t>lygint</w:t>
      </w:r>
      <w:r w:rsidR="000F52C2">
        <w:rPr>
          <w:sz w:val="24"/>
          <w:szCs w:val="24"/>
        </w:rPr>
        <w:t>i</w:t>
      </w:r>
      <w:r w:rsidR="00B371D6" w:rsidRPr="00AB5D51">
        <w:rPr>
          <w:sz w:val="24"/>
          <w:szCs w:val="24"/>
        </w:rPr>
        <w:t xml:space="preserve"> su 2019 metais, darbo užmokestis su soc. draudimo įmokomis</w:t>
      </w:r>
      <w:r w:rsidR="00BE7BD6">
        <w:rPr>
          <w:sz w:val="24"/>
          <w:szCs w:val="24"/>
        </w:rPr>
        <w:t xml:space="preserve"> didėjo 2,5</w:t>
      </w:r>
      <w:r w:rsidR="00C22B92">
        <w:rPr>
          <w:sz w:val="24"/>
          <w:szCs w:val="24"/>
        </w:rPr>
        <w:t xml:space="preserve"> mln. eurų. </w:t>
      </w:r>
      <w:r w:rsidR="00BE7BD6">
        <w:rPr>
          <w:sz w:val="24"/>
          <w:szCs w:val="24"/>
        </w:rPr>
        <w:t>2021 metais, palyginti su 2020</w:t>
      </w:r>
      <w:r w:rsidR="00BE7BD6" w:rsidRPr="00BE7BD6">
        <w:rPr>
          <w:sz w:val="24"/>
          <w:szCs w:val="24"/>
        </w:rPr>
        <w:t xml:space="preserve"> metais, darbo užmokestis su s</w:t>
      </w:r>
      <w:r w:rsidR="00BE7BD6">
        <w:rPr>
          <w:sz w:val="24"/>
          <w:szCs w:val="24"/>
        </w:rPr>
        <w:t>oc. draudimo įmokomis didėjo 2,0</w:t>
      </w:r>
      <w:r w:rsidR="00BE7BD6" w:rsidRPr="00BE7BD6">
        <w:rPr>
          <w:sz w:val="24"/>
          <w:szCs w:val="24"/>
        </w:rPr>
        <w:t xml:space="preserve"> mln. eurų</w:t>
      </w:r>
      <w:r w:rsidR="00BE7BD6">
        <w:rPr>
          <w:sz w:val="24"/>
          <w:szCs w:val="24"/>
        </w:rPr>
        <w:t>.</w:t>
      </w:r>
      <w:r w:rsidR="00B371D6" w:rsidRPr="00AB5D51">
        <w:rPr>
          <w:sz w:val="24"/>
          <w:szCs w:val="24"/>
        </w:rPr>
        <w:t xml:space="preserve"> </w:t>
      </w:r>
      <w:r w:rsidR="00BE7BD6">
        <w:rPr>
          <w:sz w:val="24"/>
          <w:szCs w:val="24"/>
        </w:rPr>
        <w:t>Paskutiniais ketveriais</w:t>
      </w:r>
      <w:r w:rsidR="000F5271" w:rsidRPr="00AB5D51">
        <w:rPr>
          <w:sz w:val="24"/>
          <w:szCs w:val="24"/>
        </w:rPr>
        <w:t xml:space="preserve"> metais</w:t>
      </w:r>
      <w:r w:rsidR="000F5271" w:rsidRPr="00AB5D51">
        <w:t xml:space="preserve"> </w:t>
      </w:r>
      <w:r w:rsidRPr="00AB5D51">
        <w:rPr>
          <w:sz w:val="24"/>
          <w:szCs w:val="24"/>
        </w:rPr>
        <w:t>did</w:t>
      </w:r>
      <w:r w:rsidR="00BE7BD6">
        <w:rPr>
          <w:sz w:val="24"/>
          <w:szCs w:val="24"/>
        </w:rPr>
        <w:t>ėjo</w:t>
      </w:r>
      <w:r w:rsidRPr="00AB5D51">
        <w:rPr>
          <w:sz w:val="24"/>
          <w:szCs w:val="24"/>
        </w:rPr>
        <w:t xml:space="preserve"> minimali mėnesinė alga</w:t>
      </w:r>
      <w:r w:rsidR="002066F6">
        <w:rPr>
          <w:sz w:val="24"/>
          <w:szCs w:val="24"/>
        </w:rPr>
        <w:t xml:space="preserve"> (3</w:t>
      </w:r>
      <w:r w:rsidR="00F40D25" w:rsidRPr="00AB5D51">
        <w:rPr>
          <w:sz w:val="24"/>
          <w:szCs w:val="24"/>
        </w:rPr>
        <w:t xml:space="preserve"> lentelė)</w:t>
      </w:r>
      <w:r w:rsidRPr="00AB5D51">
        <w:rPr>
          <w:sz w:val="24"/>
          <w:szCs w:val="24"/>
        </w:rPr>
        <w:t>,</w:t>
      </w:r>
      <w:r w:rsidRPr="00AB5D51">
        <w:t xml:space="preserve"> </w:t>
      </w:r>
      <w:r w:rsidR="00CF56D8" w:rsidRPr="00AB5D51">
        <w:rPr>
          <w:sz w:val="24"/>
          <w:szCs w:val="24"/>
        </w:rPr>
        <w:t>didintas kultūros</w:t>
      </w:r>
      <w:r w:rsidR="001B1081">
        <w:rPr>
          <w:sz w:val="24"/>
          <w:szCs w:val="24"/>
        </w:rPr>
        <w:t>, socialinių</w:t>
      </w:r>
      <w:r w:rsidR="00CF56D8" w:rsidRPr="00AB5D51">
        <w:rPr>
          <w:sz w:val="24"/>
          <w:szCs w:val="24"/>
        </w:rPr>
        <w:t xml:space="preserve"> darbuotojų darbo užmokestis, </w:t>
      </w:r>
      <w:r w:rsidR="000F5271" w:rsidRPr="00AB5D51">
        <w:rPr>
          <w:sz w:val="24"/>
          <w:szCs w:val="24"/>
        </w:rPr>
        <w:t xml:space="preserve">valstybės tarnautojų, valstybės ir savivaldybių biudžetinių įstaigų darbuotojų pareiginės algos (atlyginimo) bazinis dydis </w:t>
      </w:r>
      <w:r w:rsidR="00B371D6" w:rsidRPr="00AB5D51">
        <w:rPr>
          <w:sz w:val="24"/>
          <w:szCs w:val="24"/>
        </w:rPr>
        <w:t>paskut</w:t>
      </w:r>
      <w:r w:rsidR="002066F6">
        <w:rPr>
          <w:sz w:val="24"/>
          <w:szCs w:val="24"/>
        </w:rPr>
        <w:t>iniais metais taip pat didėjo (4</w:t>
      </w:r>
      <w:r w:rsidR="00B371D6" w:rsidRPr="00AB5D51">
        <w:rPr>
          <w:sz w:val="24"/>
          <w:szCs w:val="24"/>
        </w:rPr>
        <w:t xml:space="preserve"> lentelė), </w:t>
      </w:r>
      <w:r w:rsidR="009263B5" w:rsidRPr="00AB5D51">
        <w:rPr>
          <w:sz w:val="24"/>
          <w:szCs w:val="24"/>
        </w:rPr>
        <w:t xml:space="preserve">priimti </w:t>
      </w:r>
      <w:r w:rsidR="001B1081">
        <w:rPr>
          <w:sz w:val="24"/>
          <w:szCs w:val="24"/>
        </w:rPr>
        <w:t xml:space="preserve">įvairūs </w:t>
      </w:r>
      <w:r w:rsidR="009263B5" w:rsidRPr="00AB5D51">
        <w:rPr>
          <w:sz w:val="24"/>
          <w:szCs w:val="24"/>
        </w:rPr>
        <w:t xml:space="preserve">Lietuvos Respublikos </w:t>
      </w:r>
      <w:r w:rsidR="000F52C2">
        <w:rPr>
          <w:sz w:val="24"/>
          <w:szCs w:val="24"/>
        </w:rPr>
        <w:t>V</w:t>
      </w:r>
      <w:r w:rsidR="009263B5" w:rsidRPr="00AB5D51">
        <w:rPr>
          <w:sz w:val="24"/>
          <w:szCs w:val="24"/>
        </w:rPr>
        <w:t xml:space="preserve">yriausybės nutarimai, </w:t>
      </w:r>
      <w:r w:rsidR="00593F84" w:rsidRPr="00AB5D51">
        <w:rPr>
          <w:sz w:val="24"/>
          <w:szCs w:val="24"/>
        </w:rPr>
        <w:t>todėl buvo didinamas darbo užmokestis tiek valstybės tarnautojams, tiek biudžetinių įstaigų darbuotojams, dirbantiems pagal darbo sutartis.</w:t>
      </w:r>
      <w:r w:rsidR="002C0D14" w:rsidRPr="00AB5D51">
        <w:rPr>
          <w:sz w:val="24"/>
          <w:szCs w:val="24"/>
        </w:rPr>
        <w:t xml:space="preserve"> </w:t>
      </w:r>
    </w:p>
    <w:p w:rsidR="00880143" w:rsidRDefault="00880143" w:rsidP="00343009">
      <w:pPr>
        <w:ind w:firstLine="720"/>
        <w:jc w:val="both"/>
        <w:rPr>
          <w:b/>
          <w:sz w:val="24"/>
          <w:szCs w:val="24"/>
        </w:rPr>
      </w:pPr>
    </w:p>
    <w:p w:rsidR="009752D7" w:rsidRDefault="002066F6" w:rsidP="00C055F8">
      <w:pPr>
        <w:ind w:firstLine="720"/>
        <w:jc w:val="center"/>
        <w:rPr>
          <w:sz w:val="24"/>
          <w:szCs w:val="24"/>
        </w:rPr>
      </w:pPr>
      <w:r>
        <w:rPr>
          <w:b/>
          <w:sz w:val="24"/>
          <w:szCs w:val="24"/>
        </w:rPr>
        <w:t>3</w:t>
      </w:r>
      <w:r w:rsidR="00C56087" w:rsidRPr="00AB5D51">
        <w:rPr>
          <w:b/>
          <w:sz w:val="24"/>
          <w:szCs w:val="24"/>
        </w:rPr>
        <w:t xml:space="preserve"> lentelė</w:t>
      </w:r>
      <w:r w:rsidR="00157A53">
        <w:rPr>
          <w:b/>
          <w:sz w:val="24"/>
          <w:szCs w:val="24"/>
        </w:rPr>
        <w:t>.</w:t>
      </w:r>
      <w:r w:rsidR="00C56087" w:rsidRPr="00AB5D51">
        <w:rPr>
          <w:b/>
          <w:sz w:val="24"/>
          <w:szCs w:val="24"/>
        </w:rPr>
        <w:t xml:space="preserve"> Minimali</w:t>
      </w:r>
      <w:r w:rsidR="00D00372">
        <w:rPr>
          <w:b/>
          <w:sz w:val="24"/>
          <w:szCs w:val="24"/>
        </w:rPr>
        <w:t>os mėnesinės algos pokyčiai 2018</w:t>
      </w:r>
      <w:r w:rsidR="00D00A1D">
        <w:rPr>
          <w:b/>
          <w:sz w:val="24"/>
          <w:szCs w:val="24"/>
        </w:rPr>
        <w:t>-</w:t>
      </w:r>
      <w:r w:rsidR="00D00372">
        <w:rPr>
          <w:b/>
          <w:sz w:val="24"/>
          <w:szCs w:val="24"/>
        </w:rPr>
        <w:t>2021</w:t>
      </w:r>
      <w:r w:rsidR="00C56087" w:rsidRPr="00AB5D51">
        <w:rPr>
          <w:b/>
          <w:sz w:val="24"/>
          <w:szCs w:val="24"/>
        </w:rPr>
        <w:t xml:space="preserve"> metais</w:t>
      </w:r>
      <w:r w:rsidR="002C0D14" w:rsidRPr="00AB5D51">
        <w:rPr>
          <w:sz w:val="24"/>
          <w:szCs w:val="24"/>
        </w:rPr>
        <w:t xml:space="preserve">     </w:t>
      </w:r>
    </w:p>
    <w:p w:rsidR="002C0D14" w:rsidRPr="00AB5D51" w:rsidRDefault="002C0D14" w:rsidP="00C055F8">
      <w:pPr>
        <w:ind w:firstLine="720"/>
        <w:jc w:val="center"/>
        <w:rPr>
          <w:sz w:val="24"/>
          <w:szCs w:val="24"/>
        </w:rPr>
      </w:pPr>
      <w:r w:rsidRPr="00AB5D51">
        <w:rPr>
          <w:sz w:val="24"/>
          <w:szCs w:val="24"/>
        </w:rPr>
        <w:t xml:space="preserve">                         </w:t>
      </w:r>
    </w:p>
    <w:tbl>
      <w:tblPr>
        <w:tblStyle w:val="Lentelstinklelis"/>
        <w:tblW w:w="0" w:type="auto"/>
        <w:tblInd w:w="1908" w:type="dxa"/>
        <w:tblLook w:val="04A0" w:firstRow="1" w:lastRow="0" w:firstColumn="1" w:lastColumn="0" w:noHBand="0" w:noVBand="1"/>
      </w:tblPr>
      <w:tblGrid>
        <w:gridCol w:w="3420"/>
        <w:gridCol w:w="2197"/>
      </w:tblGrid>
      <w:tr w:rsidR="0044613A" w:rsidRPr="00AB5D51" w:rsidTr="00DD2ACA">
        <w:tc>
          <w:tcPr>
            <w:tcW w:w="3420" w:type="dxa"/>
          </w:tcPr>
          <w:p w:rsidR="0044613A" w:rsidRPr="00AB5D51" w:rsidRDefault="0044613A" w:rsidP="002C0D14">
            <w:pPr>
              <w:jc w:val="center"/>
              <w:rPr>
                <w:sz w:val="24"/>
                <w:szCs w:val="24"/>
              </w:rPr>
            </w:pPr>
            <w:r w:rsidRPr="00AB5D51">
              <w:rPr>
                <w:sz w:val="24"/>
                <w:szCs w:val="24"/>
              </w:rPr>
              <w:t>Data, nuo kada keitėsi</w:t>
            </w:r>
          </w:p>
        </w:tc>
        <w:tc>
          <w:tcPr>
            <w:tcW w:w="2197" w:type="dxa"/>
          </w:tcPr>
          <w:p w:rsidR="0044613A" w:rsidRPr="00AB5D51" w:rsidRDefault="0044613A" w:rsidP="002C0D14">
            <w:pPr>
              <w:jc w:val="center"/>
              <w:rPr>
                <w:sz w:val="24"/>
                <w:szCs w:val="24"/>
              </w:rPr>
            </w:pPr>
            <w:r w:rsidRPr="00AB5D51">
              <w:rPr>
                <w:sz w:val="24"/>
                <w:szCs w:val="24"/>
              </w:rPr>
              <w:t>MMA dydis</w:t>
            </w:r>
            <w:r w:rsidR="002C0D14" w:rsidRPr="00AB5D51">
              <w:rPr>
                <w:sz w:val="24"/>
                <w:szCs w:val="24"/>
              </w:rPr>
              <w:t>, eurais</w:t>
            </w:r>
          </w:p>
        </w:tc>
      </w:tr>
      <w:tr w:rsidR="0044613A" w:rsidRPr="00AB5D51" w:rsidTr="00DD2ACA">
        <w:tc>
          <w:tcPr>
            <w:tcW w:w="3420" w:type="dxa"/>
          </w:tcPr>
          <w:p w:rsidR="0044613A" w:rsidRPr="00AB5D51" w:rsidRDefault="002C0D14" w:rsidP="00DD2ACA">
            <w:pPr>
              <w:tabs>
                <w:tab w:val="left" w:pos="702"/>
              </w:tabs>
              <w:jc w:val="center"/>
              <w:rPr>
                <w:sz w:val="24"/>
                <w:szCs w:val="24"/>
              </w:rPr>
            </w:pPr>
            <w:r w:rsidRPr="00AB5D51">
              <w:rPr>
                <w:sz w:val="24"/>
                <w:szCs w:val="24"/>
              </w:rPr>
              <w:t>2018-01-01</w:t>
            </w:r>
          </w:p>
        </w:tc>
        <w:tc>
          <w:tcPr>
            <w:tcW w:w="2197" w:type="dxa"/>
          </w:tcPr>
          <w:p w:rsidR="0044613A" w:rsidRPr="00AB5D51" w:rsidRDefault="002C0D14" w:rsidP="002C0D14">
            <w:pPr>
              <w:jc w:val="center"/>
              <w:rPr>
                <w:sz w:val="24"/>
                <w:szCs w:val="24"/>
              </w:rPr>
            </w:pPr>
            <w:r w:rsidRPr="00AB5D51">
              <w:rPr>
                <w:sz w:val="24"/>
                <w:szCs w:val="24"/>
              </w:rPr>
              <w:t>400</w:t>
            </w:r>
          </w:p>
        </w:tc>
      </w:tr>
      <w:tr w:rsidR="00BC28C3" w:rsidRPr="00AB5D51" w:rsidTr="00DD2ACA">
        <w:tc>
          <w:tcPr>
            <w:tcW w:w="3420" w:type="dxa"/>
          </w:tcPr>
          <w:p w:rsidR="00BC28C3" w:rsidRPr="00AB5D51" w:rsidRDefault="00DD2ACA" w:rsidP="00DD2ACA">
            <w:pPr>
              <w:jc w:val="center"/>
              <w:rPr>
                <w:sz w:val="24"/>
                <w:szCs w:val="24"/>
              </w:rPr>
            </w:pPr>
            <w:r w:rsidRPr="00AB5D51">
              <w:rPr>
                <w:sz w:val="24"/>
                <w:szCs w:val="24"/>
              </w:rPr>
              <w:t xml:space="preserve">  </w:t>
            </w:r>
            <w:r w:rsidR="00BC28C3" w:rsidRPr="00AB5D51">
              <w:rPr>
                <w:sz w:val="24"/>
                <w:szCs w:val="24"/>
              </w:rPr>
              <w:t>2019-01-01</w:t>
            </w:r>
            <w:r w:rsidR="00BC28C3" w:rsidRPr="00AB5D51">
              <w:rPr>
                <w:sz w:val="24"/>
                <w:szCs w:val="24"/>
                <w:lang w:val="en-US"/>
              </w:rPr>
              <w:t>*</w:t>
            </w:r>
          </w:p>
        </w:tc>
        <w:tc>
          <w:tcPr>
            <w:tcW w:w="2197" w:type="dxa"/>
          </w:tcPr>
          <w:p w:rsidR="00BC28C3" w:rsidRPr="00AB5D51" w:rsidRDefault="00BC28C3" w:rsidP="00BC28C3">
            <w:pPr>
              <w:jc w:val="center"/>
              <w:rPr>
                <w:sz w:val="24"/>
                <w:szCs w:val="24"/>
              </w:rPr>
            </w:pPr>
            <w:r w:rsidRPr="00AB5D51">
              <w:rPr>
                <w:sz w:val="24"/>
                <w:szCs w:val="24"/>
              </w:rPr>
              <w:t>555</w:t>
            </w:r>
          </w:p>
        </w:tc>
      </w:tr>
      <w:tr w:rsidR="00BC28C3" w:rsidRPr="00AB5D51" w:rsidTr="00DD2ACA">
        <w:tc>
          <w:tcPr>
            <w:tcW w:w="3420" w:type="dxa"/>
          </w:tcPr>
          <w:p w:rsidR="00BC28C3" w:rsidRPr="00AB5D51" w:rsidRDefault="00B371D6" w:rsidP="00DD2ACA">
            <w:pPr>
              <w:jc w:val="center"/>
              <w:rPr>
                <w:sz w:val="24"/>
                <w:szCs w:val="24"/>
              </w:rPr>
            </w:pPr>
            <w:r w:rsidRPr="00AB5D51">
              <w:rPr>
                <w:sz w:val="24"/>
                <w:szCs w:val="24"/>
              </w:rPr>
              <w:t>2020</w:t>
            </w:r>
            <w:r w:rsidR="00BC28C3" w:rsidRPr="00AB5D51">
              <w:rPr>
                <w:sz w:val="24"/>
                <w:szCs w:val="24"/>
              </w:rPr>
              <w:t>-01-01</w:t>
            </w:r>
          </w:p>
        </w:tc>
        <w:tc>
          <w:tcPr>
            <w:tcW w:w="2197" w:type="dxa"/>
          </w:tcPr>
          <w:p w:rsidR="00BC28C3" w:rsidRPr="00AB5D51" w:rsidRDefault="00B371D6" w:rsidP="00AD18A8">
            <w:pPr>
              <w:jc w:val="center"/>
              <w:rPr>
                <w:sz w:val="24"/>
                <w:szCs w:val="24"/>
              </w:rPr>
            </w:pPr>
            <w:r w:rsidRPr="00AB5D51">
              <w:rPr>
                <w:sz w:val="24"/>
                <w:szCs w:val="24"/>
              </w:rPr>
              <w:t>607</w:t>
            </w:r>
          </w:p>
        </w:tc>
      </w:tr>
      <w:tr w:rsidR="00D00372" w:rsidRPr="00AB5D51" w:rsidTr="00DD2ACA">
        <w:tc>
          <w:tcPr>
            <w:tcW w:w="3420" w:type="dxa"/>
          </w:tcPr>
          <w:p w:rsidR="00D00372" w:rsidRPr="00AB5D51" w:rsidRDefault="00D00372" w:rsidP="00DD2ACA">
            <w:pPr>
              <w:jc w:val="center"/>
              <w:rPr>
                <w:sz w:val="24"/>
                <w:szCs w:val="24"/>
              </w:rPr>
            </w:pPr>
            <w:r>
              <w:rPr>
                <w:sz w:val="24"/>
                <w:szCs w:val="24"/>
              </w:rPr>
              <w:t>2021</w:t>
            </w:r>
            <w:r w:rsidRPr="00D00372">
              <w:rPr>
                <w:sz w:val="24"/>
                <w:szCs w:val="24"/>
              </w:rPr>
              <w:t>-01-01</w:t>
            </w:r>
          </w:p>
        </w:tc>
        <w:tc>
          <w:tcPr>
            <w:tcW w:w="2197" w:type="dxa"/>
          </w:tcPr>
          <w:p w:rsidR="00D00372" w:rsidRPr="00AB5D51" w:rsidRDefault="00D00372" w:rsidP="00AD18A8">
            <w:pPr>
              <w:jc w:val="center"/>
              <w:rPr>
                <w:sz w:val="24"/>
                <w:szCs w:val="24"/>
              </w:rPr>
            </w:pPr>
            <w:r>
              <w:rPr>
                <w:sz w:val="24"/>
                <w:szCs w:val="24"/>
              </w:rPr>
              <w:t>642</w:t>
            </w:r>
          </w:p>
        </w:tc>
      </w:tr>
    </w:tbl>
    <w:p w:rsidR="009752D7" w:rsidRDefault="009752D7" w:rsidP="00157A53">
      <w:pPr>
        <w:tabs>
          <w:tab w:val="left" w:pos="90"/>
        </w:tabs>
        <w:ind w:left="810" w:firstLine="90"/>
        <w:jc w:val="both"/>
        <w:rPr>
          <w:sz w:val="24"/>
          <w:szCs w:val="24"/>
          <w:lang w:val="en-US"/>
        </w:rPr>
      </w:pPr>
    </w:p>
    <w:p w:rsidR="00B371D6" w:rsidRDefault="00AD18A8" w:rsidP="00635E1D">
      <w:pPr>
        <w:tabs>
          <w:tab w:val="left" w:pos="90"/>
        </w:tabs>
        <w:ind w:firstLine="900"/>
        <w:jc w:val="both"/>
        <w:rPr>
          <w:sz w:val="24"/>
          <w:szCs w:val="24"/>
        </w:rPr>
      </w:pPr>
      <w:proofErr w:type="gramStart"/>
      <w:r w:rsidRPr="00AB5D51">
        <w:rPr>
          <w:sz w:val="24"/>
          <w:szCs w:val="24"/>
          <w:lang w:val="en-US"/>
        </w:rPr>
        <w:lastRenderedPageBreak/>
        <w:t>*</w:t>
      </w:r>
      <w:r w:rsidRPr="00AB5D51">
        <w:rPr>
          <w:sz w:val="24"/>
          <w:szCs w:val="24"/>
        </w:rPr>
        <w:t>Įsigaliojus Valstybinio socialinio draudimo (VSD) įstatymo pakeitimams, VSD</w:t>
      </w:r>
      <w:r w:rsidR="007E0FD1" w:rsidRPr="00AB5D51">
        <w:rPr>
          <w:sz w:val="24"/>
          <w:szCs w:val="24"/>
        </w:rPr>
        <w:t xml:space="preserve"> </w:t>
      </w:r>
      <w:r w:rsidRPr="00AB5D51">
        <w:rPr>
          <w:sz w:val="24"/>
          <w:szCs w:val="24"/>
        </w:rPr>
        <w:t>įmokos yra perkeliamos darbuotojui, sujungus darbuotojo ir darbdavio mokesčius.</w:t>
      </w:r>
      <w:proofErr w:type="gramEnd"/>
      <w:r w:rsidR="007D300B" w:rsidRPr="00AB5D51">
        <w:rPr>
          <w:sz w:val="24"/>
          <w:szCs w:val="24"/>
        </w:rPr>
        <w:t xml:space="preserve"> </w:t>
      </w:r>
      <w:r w:rsidRPr="00AB5D51">
        <w:rPr>
          <w:sz w:val="24"/>
          <w:szCs w:val="24"/>
        </w:rPr>
        <w:t>Be įstatymo</w:t>
      </w:r>
      <w:r w:rsidR="00593F84" w:rsidRPr="00AB5D51">
        <w:rPr>
          <w:sz w:val="24"/>
          <w:szCs w:val="24"/>
        </w:rPr>
        <w:t xml:space="preserve"> </w:t>
      </w:r>
      <w:r w:rsidRPr="00AB5D51">
        <w:rPr>
          <w:sz w:val="24"/>
          <w:szCs w:val="24"/>
        </w:rPr>
        <w:t>pakeitimų</w:t>
      </w:r>
      <w:r w:rsidR="000F52C2">
        <w:rPr>
          <w:sz w:val="24"/>
          <w:szCs w:val="24"/>
        </w:rPr>
        <w:t>,</w:t>
      </w:r>
      <w:r w:rsidRPr="00AB5D51">
        <w:rPr>
          <w:sz w:val="24"/>
          <w:szCs w:val="24"/>
        </w:rPr>
        <w:t xml:space="preserve"> </w:t>
      </w:r>
      <w:r w:rsidR="00593F84" w:rsidRPr="00AB5D51">
        <w:rPr>
          <w:sz w:val="24"/>
          <w:szCs w:val="24"/>
        </w:rPr>
        <w:t xml:space="preserve">MMA </w:t>
      </w:r>
      <w:r w:rsidRPr="00AB5D51">
        <w:rPr>
          <w:sz w:val="24"/>
          <w:szCs w:val="24"/>
        </w:rPr>
        <w:t>būtų buvęs 430.</w:t>
      </w:r>
    </w:p>
    <w:p w:rsidR="00C56087" w:rsidRPr="009752D7" w:rsidRDefault="002066F6" w:rsidP="00157A53">
      <w:pPr>
        <w:tabs>
          <w:tab w:val="left" w:pos="90"/>
        </w:tabs>
        <w:ind w:left="720" w:firstLine="180"/>
        <w:jc w:val="center"/>
        <w:rPr>
          <w:b/>
          <w:sz w:val="24"/>
          <w:szCs w:val="24"/>
        </w:rPr>
      </w:pPr>
      <w:r w:rsidRPr="009752D7">
        <w:rPr>
          <w:b/>
          <w:sz w:val="24"/>
          <w:szCs w:val="24"/>
        </w:rPr>
        <w:t>4</w:t>
      </w:r>
      <w:r w:rsidR="00C56087" w:rsidRPr="009752D7">
        <w:rPr>
          <w:b/>
          <w:sz w:val="24"/>
          <w:szCs w:val="24"/>
        </w:rPr>
        <w:t xml:space="preserve"> lentelė Pareiginės algos baz</w:t>
      </w:r>
      <w:r w:rsidR="00D00372" w:rsidRPr="009752D7">
        <w:rPr>
          <w:b/>
          <w:sz w:val="24"/>
          <w:szCs w:val="24"/>
        </w:rPr>
        <w:t>inio dydžio pokyčiai 2018</w:t>
      </w:r>
      <w:r w:rsidR="00635E1D">
        <w:rPr>
          <w:b/>
          <w:sz w:val="24"/>
          <w:szCs w:val="24"/>
        </w:rPr>
        <w:t>-</w:t>
      </w:r>
      <w:r w:rsidR="00D00372" w:rsidRPr="009752D7">
        <w:rPr>
          <w:b/>
          <w:sz w:val="24"/>
          <w:szCs w:val="24"/>
        </w:rPr>
        <w:t>2021</w:t>
      </w:r>
      <w:r w:rsidR="00C56087" w:rsidRPr="009752D7">
        <w:rPr>
          <w:b/>
          <w:sz w:val="24"/>
          <w:szCs w:val="24"/>
        </w:rPr>
        <w:t xml:space="preserve"> metais</w:t>
      </w:r>
    </w:p>
    <w:p w:rsidR="00DD2ACA" w:rsidRPr="009752D7" w:rsidRDefault="00DD2ACA" w:rsidP="00C56087">
      <w:pPr>
        <w:tabs>
          <w:tab w:val="left" w:pos="90"/>
        </w:tabs>
        <w:ind w:left="720" w:firstLine="180"/>
        <w:jc w:val="both"/>
        <w:rPr>
          <w:sz w:val="24"/>
          <w:szCs w:val="24"/>
        </w:rPr>
      </w:pPr>
    </w:p>
    <w:tbl>
      <w:tblPr>
        <w:tblStyle w:val="Lentelstinklelis"/>
        <w:tblpPr w:leftFromText="180" w:rightFromText="180" w:vertAnchor="text" w:horzAnchor="margin" w:tblpXSpec="center" w:tblpY="107"/>
        <w:tblW w:w="0" w:type="auto"/>
        <w:tblLook w:val="04A0" w:firstRow="1" w:lastRow="0" w:firstColumn="1" w:lastColumn="0" w:noHBand="0" w:noVBand="1"/>
      </w:tblPr>
      <w:tblGrid>
        <w:gridCol w:w="3510"/>
        <w:gridCol w:w="2628"/>
      </w:tblGrid>
      <w:tr w:rsidR="00DD2ACA" w:rsidRPr="009752D7" w:rsidTr="00DD2ACA">
        <w:tc>
          <w:tcPr>
            <w:tcW w:w="3510" w:type="dxa"/>
          </w:tcPr>
          <w:p w:rsidR="00DD2ACA" w:rsidRPr="009752D7" w:rsidRDefault="00DD2ACA" w:rsidP="00DD2ACA">
            <w:pPr>
              <w:jc w:val="center"/>
              <w:rPr>
                <w:sz w:val="24"/>
                <w:szCs w:val="24"/>
              </w:rPr>
            </w:pPr>
            <w:r w:rsidRPr="009752D7">
              <w:rPr>
                <w:sz w:val="24"/>
                <w:szCs w:val="24"/>
              </w:rPr>
              <w:t>Data, nuo kada keitėsi</w:t>
            </w:r>
          </w:p>
        </w:tc>
        <w:tc>
          <w:tcPr>
            <w:tcW w:w="2628" w:type="dxa"/>
          </w:tcPr>
          <w:p w:rsidR="00DD2ACA" w:rsidRPr="009752D7" w:rsidRDefault="000F52C2" w:rsidP="00DD2ACA">
            <w:pPr>
              <w:jc w:val="center"/>
              <w:rPr>
                <w:sz w:val="24"/>
                <w:szCs w:val="24"/>
              </w:rPr>
            </w:pPr>
            <w:r w:rsidRPr="009752D7">
              <w:rPr>
                <w:sz w:val="24"/>
                <w:szCs w:val="24"/>
              </w:rPr>
              <w:t>B</w:t>
            </w:r>
            <w:r w:rsidR="00DD2ACA" w:rsidRPr="009752D7">
              <w:rPr>
                <w:sz w:val="24"/>
                <w:szCs w:val="24"/>
              </w:rPr>
              <w:t>azinis dydis, eurais</w:t>
            </w:r>
          </w:p>
        </w:tc>
      </w:tr>
      <w:tr w:rsidR="00DD2ACA" w:rsidRPr="009752D7" w:rsidTr="00DD2ACA">
        <w:tc>
          <w:tcPr>
            <w:tcW w:w="3510" w:type="dxa"/>
          </w:tcPr>
          <w:p w:rsidR="00DD2ACA" w:rsidRPr="009752D7" w:rsidRDefault="00DD2ACA" w:rsidP="00DD2ACA">
            <w:pPr>
              <w:jc w:val="center"/>
              <w:rPr>
                <w:sz w:val="24"/>
                <w:szCs w:val="24"/>
              </w:rPr>
            </w:pPr>
            <w:r w:rsidRPr="009752D7">
              <w:rPr>
                <w:sz w:val="24"/>
                <w:szCs w:val="24"/>
              </w:rPr>
              <w:t>2018-01-01</w:t>
            </w:r>
          </w:p>
        </w:tc>
        <w:tc>
          <w:tcPr>
            <w:tcW w:w="2628" w:type="dxa"/>
          </w:tcPr>
          <w:p w:rsidR="00DD2ACA" w:rsidRPr="009752D7" w:rsidRDefault="00DD2ACA" w:rsidP="00DD2ACA">
            <w:pPr>
              <w:jc w:val="center"/>
              <w:rPr>
                <w:sz w:val="24"/>
                <w:szCs w:val="24"/>
              </w:rPr>
            </w:pPr>
            <w:r w:rsidRPr="009752D7">
              <w:rPr>
                <w:sz w:val="24"/>
                <w:szCs w:val="24"/>
              </w:rPr>
              <w:t>132,5</w:t>
            </w:r>
          </w:p>
        </w:tc>
      </w:tr>
      <w:tr w:rsidR="00DD2ACA" w:rsidRPr="009752D7" w:rsidTr="00DD2ACA">
        <w:tc>
          <w:tcPr>
            <w:tcW w:w="3510" w:type="dxa"/>
          </w:tcPr>
          <w:p w:rsidR="00DD2ACA" w:rsidRPr="009752D7" w:rsidRDefault="00DD2ACA" w:rsidP="00DD2ACA">
            <w:pPr>
              <w:jc w:val="center"/>
              <w:rPr>
                <w:sz w:val="24"/>
                <w:szCs w:val="24"/>
              </w:rPr>
            </w:pPr>
            <w:r w:rsidRPr="009752D7">
              <w:rPr>
                <w:sz w:val="24"/>
                <w:szCs w:val="24"/>
              </w:rPr>
              <w:t xml:space="preserve">  2019-01-01</w:t>
            </w:r>
            <w:r w:rsidRPr="009752D7">
              <w:rPr>
                <w:sz w:val="24"/>
                <w:szCs w:val="24"/>
                <w:lang w:val="en-US"/>
              </w:rPr>
              <w:t>*</w:t>
            </w:r>
          </w:p>
        </w:tc>
        <w:tc>
          <w:tcPr>
            <w:tcW w:w="2628" w:type="dxa"/>
          </w:tcPr>
          <w:p w:rsidR="00DD2ACA" w:rsidRPr="009752D7" w:rsidRDefault="00DD2ACA" w:rsidP="00DD2ACA">
            <w:pPr>
              <w:jc w:val="center"/>
              <w:rPr>
                <w:sz w:val="24"/>
                <w:szCs w:val="24"/>
              </w:rPr>
            </w:pPr>
            <w:r w:rsidRPr="009752D7">
              <w:rPr>
                <w:sz w:val="24"/>
                <w:szCs w:val="24"/>
              </w:rPr>
              <w:t>173,0</w:t>
            </w:r>
          </w:p>
        </w:tc>
      </w:tr>
      <w:tr w:rsidR="00DD2ACA" w:rsidRPr="009752D7" w:rsidTr="00DD2ACA">
        <w:tc>
          <w:tcPr>
            <w:tcW w:w="3510" w:type="dxa"/>
          </w:tcPr>
          <w:p w:rsidR="00DD2ACA" w:rsidRPr="009752D7" w:rsidRDefault="00DD2ACA" w:rsidP="00DD2ACA">
            <w:pPr>
              <w:jc w:val="center"/>
              <w:rPr>
                <w:sz w:val="24"/>
                <w:szCs w:val="24"/>
              </w:rPr>
            </w:pPr>
            <w:r w:rsidRPr="009752D7">
              <w:rPr>
                <w:sz w:val="24"/>
                <w:szCs w:val="24"/>
              </w:rPr>
              <w:t>2020-01-01</w:t>
            </w:r>
          </w:p>
        </w:tc>
        <w:tc>
          <w:tcPr>
            <w:tcW w:w="2628" w:type="dxa"/>
          </w:tcPr>
          <w:p w:rsidR="00DD2ACA" w:rsidRPr="009752D7" w:rsidRDefault="00DD2ACA" w:rsidP="00DD2ACA">
            <w:pPr>
              <w:jc w:val="center"/>
              <w:rPr>
                <w:sz w:val="24"/>
                <w:szCs w:val="24"/>
              </w:rPr>
            </w:pPr>
            <w:r w:rsidRPr="009752D7">
              <w:rPr>
                <w:sz w:val="24"/>
                <w:szCs w:val="24"/>
              </w:rPr>
              <w:t>176,0</w:t>
            </w:r>
          </w:p>
        </w:tc>
      </w:tr>
      <w:tr w:rsidR="00D00372" w:rsidRPr="009752D7" w:rsidTr="00DD2ACA">
        <w:tc>
          <w:tcPr>
            <w:tcW w:w="3510" w:type="dxa"/>
          </w:tcPr>
          <w:p w:rsidR="00D00372" w:rsidRPr="009752D7" w:rsidRDefault="00D00372" w:rsidP="00DD2ACA">
            <w:pPr>
              <w:jc w:val="center"/>
              <w:rPr>
                <w:sz w:val="24"/>
                <w:szCs w:val="24"/>
              </w:rPr>
            </w:pPr>
            <w:r w:rsidRPr="009752D7">
              <w:rPr>
                <w:sz w:val="24"/>
                <w:szCs w:val="24"/>
              </w:rPr>
              <w:t>2021-01-01</w:t>
            </w:r>
          </w:p>
        </w:tc>
        <w:tc>
          <w:tcPr>
            <w:tcW w:w="2628" w:type="dxa"/>
          </w:tcPr>
          <w:p w:rsidR="00D00372" w:rsidRPr="009752D7" w:rsidRDefault="00D00372" w:rsidP="00DD2ACA">
            <w:pPr>
              <w:jc w:val="center"/>
              <w:rPr>
                <w:sz w:val="24"/>
                <w:szCs w:val="24"/>
              </w:rPr>
            </w:pPr>
            <w:r w:rsidRPr="009752D7">
              <w:rPr>
                <w:sz w:val="24"/>
                <w:szCs w:val="24"/>
              </w:rPr>
              <w:t>177,0</w:t>
            </w:r>
          </w:p>
        </w:tc>
      </w:tr>
    </w:tbl>
    <w:p w:rsidR="00B371D6" w:rsidRPr="009752D7" w:rsidRDefault="00B371D6" w:rsidP="00B371D6">
      <w:pPr>
        <w:ind w:firstLine="720"/>
        <w:jc w:val="center"/>
        <w:rPr>
          <w:b/>
          <w:sz w:val="24"/>
          <w:szCs w:val="24"/>
        </w:rPr>
      </w:pPr>
    </w:p>
    <w:p w:rsidR="00C56087" w:rsidRPr="009752D7" w:rsidRDefault="00C56087" w:rsidP="007E0FD1">
      <w:pPr>
        <w:tabs>
          <w:tab w:val="left" w:pos="90"/>
        </w:tabs>
        <w:ind w:left="1800"/>
        <w:jc w:val="both"/>
        <w:rPr>
          <w:sz w:val="24"/>
          <w:szCs w:val="24"/>
        </w:rPr>
      </w:pPr>
    </w:p>
    <w:p w:rsidR="00C56087" w:rsidRPr="009752D7" w:rsidRDefault="00C56087" w:rsidP="007E0FD1">
      <w:pPr>
        <w:tabs>
          <w:tab w:val="left" w:pos="90"/>
        </w:tabs>
        <w:ind w:left="1800"/>
        <w:jc w:val="both"/>
        <w:rPr>
          <w:sz w:val="24"/>
          <w:szCs w:val="24"/>
        </w:rPr>
      </w:pPr>
    </w:p>
    <w:p w:rsidR="00C56087" w:rsidRPr="009752D7" w:rsidRDefault="00C56087" w:rsidP="007E0FD1">
      <w:pPr>
        <w:tabs>
          <w:tab w:val="left" w:pos="90"/>
        </w:tabs>
        <w:ind w:left="1800"/>
        <w:jc w:val="both"/>
        <w:rPr>
          <w:sz w:val="24"/>
          <w:szCs w:val="24"/>
        </w:rPr>
      </w:pPr>
    </w:p>
    <w:p w:rsidR="00C56087" w:rsidRPr="009752D7" w:rsidRDefault="00C56087" w:rsidP="007E0FD1">
      <w:pPr>
        <w:tabs>
          <w:tab w:val="left" w:pos="90"/>
        </w:tabs>
        <w:ind w:left="1800"/>
        <w:jc w:val="both"/>
        <w:rPr>
          <w:sz w:val="24"/>
          <w:szCs w:val="24"/>
        </w:rPr>
      </w:pPr>
    </w:p>
    <w:p w:rsidR="00C56087" w:rsidRPr="009752D7" w:rsidRDefault="00C56087" w:rsidP="007E0FD1">
      <w:pPr>
        <w:tabs>
          <w:tab w:val="left" w:pos="90"/>
        </w:tabs>
        <w:ind w:left="1800"/>
        <w:jc w:val="both"/>
        <w:rPr>
          <w:sz w:val="24"/>
          <w:szCs w:val="24"/>
        </w:rPr>
      </w:pPr>
    </w:p>
    <w:p w:rsidR="00157A53" w:rsidRDefault="00DD2ACA" w:rsidP="00DD2ACA">
      <w:pPr>
        <w:tabs>
          <w:tab w:val="left" w:pos="90"/>
        </w:tabs>
        <w:ind w:left="900" w:hanging="900"/>
        <w:jc w:val="both"/>
        <w:rPr>
          <w:sz w:val="24"/>
          <w:szCs w:val="24"/>
        </w:rPr>
      </w:pPr>
      <w:r w:rsidRPr="00AB5D51">
        <w:rPr>
          <w:sz w:val="24"/>
          <w:szCs w:val="24"/>
        </w:rPr>
        <w:t xml:space="preserve">              </w:t>
      </w:r>
    </w:p>
    <w:p w:rsidR="001E6DB5" w:rsidRDefault="008B573D" w:rsidP="00701AA5">
      <w:pPr>
        <w:tabs>
          <w:tab w:val="left" w:pos="90"/>
        </w:tabs>
        <w:ind w:firstLine="720"/>
        <w:jc w:val="both"/>
        <w:rPr>
          <w:sz w:val="24"/>
          <w:szCs w:val="24"/>
        </w:rPr>
      </w:pPr>
      <w:r w:rsidRPr="00AB5D51">
        <w:rPr>
          <w:sz w:val="24"/>
          <w:szCs w:val="24"/>
        </w:rPr>
        <w:t>*Įsigaliojus Valstybinio socialinio draudimo (VSD) įstatymo pakeitimams, VSD</w:t>
      </w:r>
      <w:r w:rsidR="00635E1D">
        <w:rPr>
          <w:sz w:val="24"/>
          <w:szCs w:val="24"/>
        </w:rPr>
        <w:t xml:space="preserve"> </w:t>
      </w:r>
      <w:r w:rsidRPr="00AB5D51">
        <w:rPr>
          <w:sz w:val="24"/>
          <w:szCs w:val="24"/>
        </w:rPr>
        <w:t>įmokos yra perkeliamos darbuotojui, sujungus darbuotojo ir darbdavio mokesčius. Be įstatymo</w:t>
      </w:r>
      <w:r w:rsidR="00157A53">
        <w:rPr>
          <w:sz w:val="24"/>
          <w:szCs w:val="24"/>
        </w:rPr>
        <w:t xml:space="preserve"> </w:t>
      </w:r>
      <w:r w:rsidRPr="00AB5D51">
        <w:rPr>
          <w:sz w:val="24"/>
          <w:szCs w:val="24"/>
        </w:rPr>
        <w:t>pakeitimų bazinis dydis būtų buvęs 134,2.</w:t>
      </w:r>
    </w:p>
    <w:p w:rsidR="009752D7" w:rsidRPr="00AB5D51" w:rsidRDefault="009752D7" w:rsidP="007E50C3">
      <w:pPr>
        <w:ind w:firstLine="720"/>
        <w:jc w:val="both"/>
        <w:rPr>
          <w:sz w:val="24"/>
          <w:szCs w:val="24"/>
        </w:rPr>
      </w:pPr>
    </w:p>
    <w:p w:rsidR="00113945" w:rsidRPr="009752D7" w:rsidRDefault="001B1081" w:rsidP="000326FC">
      <w:pPr>
        <w:ind w:firstLine="720"/>
        <w:jc w:val="both"/>
        <w:rPr>
          <w:sz w:val="24"/>
          <w:szCs w:val="24"/>
        </w:rPr>
      </w:pPr>
      <w:r w:rsidRPr="009752D7">
        <w:rPr>
          <w:sz w:val="24"/>
          <w:szCs w:val="24"/>
        </w:rPr>
        <w:t>Asignavimus</w:t>
      </w:r>
      <w:r w:rsidR="00EE1B6B" w:rsidRPr="009752D7">
        <w:rPr>
          <w:sz w:val="24"/>
          <w:szCs w:val="24"/>
        </w:rPr>
        <w:t xml:space="preserve"> turtui įsigyti sudaro </w:t>
      </w:r>
      <w:r w:rsidR="00EF5F32">
        <w:rPr>
          <w:sz w:val="24"/>
          <w:szCs w:val="24"/>
        </w:rPr>
        <w:t xml:space="preserve">lėšos, už kurias įsigytas turtas, </w:t>
      </w:r>
      <w:r w:rsidR="00EE1B6B" w:rsidRPr="009752D7">
        <w:rPr>
          <w:sz w:val="24"/>
          <w:szCs w:val="24"/>
        </w:rPr>
        <w:t>skolintos lėšos</w:t>
      </w:r>
      <w:r w:rsidRPr="009752D7">
        <w:rPr>
          <w:sz w:val="24"/>
          <w:szCs w:val="24"/>
        </w:rPr>
        <w:t xml:space="preserve"> (nėra</w:t>
      </w:r>
      <w:r w:rsidR="00EE1B6B" w:rsidRPr="009752D7">
        <w:rPr>
          <w:sz w:val="24"/>
          <w:szCs w:val="24"/>
        </w:rPr>
        <w:t xml:space="preserve"> </w:t>
      </w:r>
      <w:r w:rsidRPr="009752D7">
        <w:rPr>
          <w:sz w:val="24"/>
          <w:szCs w:val="24"/>
        </w:rPr>
        <w:t>paskolų atidavimo)</w:t>
      </w:r>
      <w:r w:rsidR="00630845" w:rsidRPr="009752D7">
        <w:rPr>
          <w:sz w:val="24"/>
          <w:szCs w:val="24"/>
        </w:rPr>
        <w:t xml:space="preserve">, </w:t>
      </w:r>
      <w:r w:rsidR="00EE1B6B" w:rsidRPr="009752D7">
        <w:rPr>
          <w:sz w:val="24"/>
          <w:szCs w:val="24"/>
        </w:rPr>
        <w:t xml:space="preserve">lėšos </w:t>
      </w:r>
      <w:r w:rsidR="00C942B3" w:rsidRPr="009752D7">
        <w:rPr>
          <w:sz w:val="24"/>
          <w:szCs w:val="24"/>
        </w:rPr>
        <w:t>Valstybės investicijų programoje</w:t>
      </w:r>
      <w:r w:rsidR="00EE1B6B" w:rsidRPr="009752D7">
        <w:rPr>
          <w:sz w:val="24"/>
          <w:szCs w:val="24"/>
        </w:rPr>
        <w:t xml:space="preserve"> numatytoms kapitalo investicijoms finansuoti</w:t>
      </w:r>
      <w:r w:rsidR="00DD2ACA" w:rsidRPr="009752D7">
        <w:rPr>
          <w:sz w:val="24"/>
          <w:szCs w:val="24"/>
        </w:rPr>
        <w:t xml:space="preserve">, </w:t>
      </w:r>
      <w:r w:rsidR="00630845" w:rsidRPr="009752D7">
        <w:rPr>
          <w:sz w:val="24"/>
          <w:szCs w:val="24"/>
        </w:rPr>
        <w:t>Europos Sąjungos ir kitos tarptautinės finansinės paramos ir bendrojo finansavimo lėšos</w:t>
      </w:r>
      <w:r w:rsidR="00EC1E37" w:rsidRPr="009752D7">
        <w:rPr>
          <w:sz w:val="24"/>
          <w:szCs w:val="24"/>
        </w:rPr>
        <w:t>.</w:t>
      </w:r>
      <w:r w:rsidRPr="009752D7">
        <w:rPr>
          <w:sz w:val="24"/>
          <w:szCs w:val="24"/>
        </w:rPr>
        <w:t xml:space="preserve"> 2018</w:t>
      </w:r>
      <w:r w:rsidR="00635E1D">
        <w:rPr>
          <w:sz w:val="24"/>
          <w:szCs w:val="24"/>
        </w:rPr>
        <w:t>-</w:t>
      </w:r>
      <w:r w:rsidR="00593F84" w:rsidRPr="009752D7">
        <w:rPr>
          <w:sz w:val="24"/>
          <w:szCs w:val="24"/>
        </w:rPr>
        <w:t>20</w:t>
      </w:r>
      <w:r w:rsidRPr="009752D7">
        <w:rPr>
          <w:sz w:val="24"/>
          <w:szCs w:val="24"/>
        </w:rPr>
        <w:t>21</w:t>
      </w:r>
      <w:r w:rsidR="00630845" w:rsidRPr="009752D7">
        <w:rPr>
          <w:sz w:val="24"/>
          <w:szCs w:val="24"/>
        </w:rPr>
        <w:t xml:space="preserve"> metais </w:t>
      </w:r>
      <w:r w:rsidR="00925540" w:rsidRPr="009752D7">
        <w:rPr>
          <w:sz w:val="24"/>
          <w:szCs w:val="24"/>
        </w:rPr>
        <w:t>buvo vykdoma daug įvai</w:t>
      </w:r>
      <w:r w:rsidR="003229C0" w:rsidRPr="009752D7">
        <w:rPr>
          <w:sz w:val="24"/>
          <w:szCs w:val="24"/>
        </w:rPr>
        <w:t xml:space="preserve">rų projektų ir šios išlaidos didėjo. Net </w:t>
      </w:r>
      <w:r w:rsidR="00113945" w:rsidRPr="009752D7">
        <w:rPr>
          <w:sz w:val="24"/>
          <w:szCs w:val="24"/>
        </w:rPr>
        <w:t>13,3</w:t>
      </w:r>
      <w:r w:rsidR="003229C0" w:rsidRPr="009752D7">
        <w:rPr>
          <w:sz w:val="24"/>
          <w:szCs w:val="24"/>
        </w:rPr>
        <w:t xml:space="preserve"> mln. eurų </w:t>
      </w:r>
      <w:r w:rsidRPr="009752D7">
        <w:rPr>
          <w:sz w:val="24"/>
          <w:szCs w:val="24"/>
        </w:rPr>
        <w:t>buvo skirta</w:t>
      </w:r>
      <w:r w:rsidR="003229C0" w:rsidRPr="009752D7">
        <w:rPr>
          <w:sz w:val="24"/>
          <w:szCs w:val="24"/>
        </w:rPr>
        <w:t xml:space="preserve"> turtui </w:t>
      </w:r>
      <w:r w:rsidR="00C50E3A" w:rsidRPr="009752D7">
        <w:rPr>
          <w:sz w:val="24"/>
          <w:szCs w:val="24"/>
        </w:rPr>
        <w:t xml:space="preserve">įsigyti </w:t>
      </w:r>
      <w:r w:rsidR="003229C0" w:rsidRPr="009752D7">
        <w:rPr>
          <w:sz w:val="24"/>
          <w:szCs w:val="24"/>
        </w:rPr>
        <w:t>2020 metais</w:t>
      </w:r>
      <w:r w:rsidR="00113945" w:rsidRPr="009752D7">
        <w:rPr>
          <w:sz w:val="24"/>
          <w:szCs w:val="24"/>
        </w:rPr>
        <w:t xml:space="preserve"> (2</w:t>
      </w:r>
      <w:r w:rsidR="00C50E3A" w:rsidRPr="009752D7">
        <w:rPr>
          <w:sz w:val="24"/>
          <w:szCs w:val="24"/>
        </w:rPr>
        <w:t>,4 mln. eurų daugiau, nei 2019 metais)</w:t>
      </w:r>
      <w:r w:rsidR="00D01BD7" w:rsidRPr="009752D7">
        <w:rPr>
          <w:sz w:val="24"/>
          <w:szCs w:val="24"/>
        </w:rPr>
        <w:t>. 2021metais asignavimai turtui dar 1 mln. eurų didesni nei 2020 m</w:t>
      </w:r>
      <w:r w:rsidR="000326FC">
        <w:rPr>
          <w:sz w:val="24"/>
          <w:szCs w:val="24"/>
        </w:rPr>
        <w:t>e</w:t>
      </w:r>
      <w:r w:rsidR="00D01BD7" w:rsidRPr="009752D7">
        <w:rPr>
          <w:sz w:val="24"/>
          <w:szCs w:val="24"/>
        </w:rPr>
        <w:t>tais.</w:t>
      </w:r>
      <w:r w:rsidR="00C50E3A" w:rsidRPr="009752D7">
        <w:t xml:space="preserve"> </w:t>
      </w:r>
      <w:r w:rsidRPr="009752D7">
        <w:rPr>
          <w:sz w:val="24"/>
          <w:szCs w:val="24"/>
        </w:rPr>
        <w:t>Asignavimų</w:t>
      </w:r>
      <w:r w:rsidR="00C50E3A" w:rsidRPr="009752D7">
        <w:rPr>
          <w:sz w:val="24"/>
          <w:szCs w:val="24"/>
        </w:rPr>
        <w:t xml:space="preserve"> turtui didėjimą lėmė didesnės išlaidos Ekonominės ir projektinės veiklos programoje</w:t>
      </w:r>
      <w:r w:rsidR="00113945" w:rsidRPr="009752D7">
        <w:rPr>
          <w:sz w:val="24"/>
          <w:szCs w:val="24"/>
        </w:rPr>
        <w:t>:</w:t>
      </w:r>
    </w:p>
    <w:p w:rsidR="00113945" w:rsidRPr="009752D7" w:rsidRDefault="00113945" w:rsidP="00914296">
      <w:pPr>
        <w:ind w:firstLine="720"/>
        <w:jc w:val="both"/>
        <w:rPr>
          <w:sz w:val="24"/>
          <w:szCs w:val="24"/>
        </w:rPr>
      </w:pPr>
      <w:r w:rsidRPr="009752D7">
        <w:rPr>
          <w:sz w:val="24"/>
          <w:szCs w:val="24"/>
        </w:rPr>
        <w:t>2018 m. –</w:t>
      </w:r>
      <w:r w:rsidR="000326FC">
        <w:rPr>
          <w:sz w:val="24"/>
          <w:szCs w:val="24"/>
        </w:rPr>
        <w:t xml:space="preserve"> </w:t>
      </w:r>
      <w:r w:rsidR="00D01BD7" w:rsidRPr="009752D7">
        <w:rPr>
          <w:sz w:val="24"/>
          <w:szCs w:val="24"/>
        </w:rPr>
        <w:t xml:space="preserve">6,3 </w:t>
      </w:r>
      <w:r w:rsidRPr="009752D7">
        <w:rPr>
          <w:sz w:val="24"/>
          <w:szCs w:val="24"/>
        </w:rPr>
        <w:t>mln. eurų</w:t>
      </w:r>
    </w:p>
    <w:p w:rsidR="00113945" w:rsidRPr="009752D7" w:rsidRDefault="00113945">
      <w:pPr>
        <w:ind w:firstLine="720"/>
        <w:jc w:val="both"/>
        <w:rPr>
          <w:sz w:val="24"/>
          <w:szCs w:val="24"/>
        </w:rPr>
      </w:pPr>
      <w:r w:rsidRPr="009752D7">
        <w:rPr>
          <w:sz w:val="24"/>
          <w:szCs w:val="24"/>
        </w:rPr>
        <w:t>2019 m. –</w:t>
      </w:r>
      <w:r w:rsidR="000326FC">
        <w:rPr>
          <w:sz w:val="24"/>
          <w:szCs w:val="24"/>
        </w:rPr>
        <w:t xml:space="preserve"> </w:t>
      </w:r>
      <w:r w:rsidR="00D01BD7" w:rsidRPr="009752D7">
        <w:rPr>
          <w:sz w:val="24"/>
          <w:szCs w:val="24"/>
        </w:rPr>
        <w:t xml:space="preserve">6,6 </w:t>
      </w:r>
      <w:r w:rsidRPr="009752D7">
        <w:rPr>
          <w:sz w:val="24"/>
          <w:szCs w:val="24"/>
        </w:rPr>
        <w:t>mln. eurų</w:t>
      </w:r>
    </w:p>
    <w:p w:rsidR="00113945" w:rsidRPr="009752D7" w:rsidRDefault="00113945">
      <w:pPr>
        <w:ind w:firstLine="720"/>
        <w:jc w:val="both"/>
        <w:rPr>
          <w:sz w:val="24"/>
          <w:szCs w:val="24"/>
        </w:rPr>
      </w:pPr>
      <w:r w:rsidRPr="009752D7">
        <w:rPr>
          <w:sz w:val="24"/>
          <w:szCs w:val="24"/>
        </w:rPr>
        <w:t>2020 m. –</w:t>
      </w:r>
      <w:r w:rsidR="000326FC">
        <w:rPr>
          <w:sz w:val="24"/>
          <w:szCs w:val="24"/>
        </w:rPr>
        <w:t xml:space="preserve"> </w:t>
      </w:r>
      <w:r w:rsidR="00D01BD7" w:rsidRPr="009752D7">
        <w:rPr>
          <w:sz w:val="24"/>
          <w:szCs w:val="24"/>
        </w:rPr>
        <w:t xml:space="preserve">8,9 </w:t>
      </w:r>
      <w:r w:rsidRPr="009752D7">
        <w:rPr>
          <w:sz w:val="24"/>
          <w:szCs w:val="24"/>
        </w:rPr>
        <w:t>mln. eurų</w:t>
      </w:r>
    </w:p>
    <w:p w:rsidR="00D01BD7" w:rsidRPr="009752D7" w:rsidRDefault="00113945">
      <w:pPr>
        <w:ind w:firstLine="720"/>
        <w:jc w:val="both"/>
        <w:rPr>
          <w:sz w:val="24"/>
          <w:szCs w:val="24"/>
        </w:rPr>
      </w:pPr>
      <w:r w:rsidRPr="009752D7">
        <w:rPr>
          <w:sz w:val="24"/>
          <w:szCs w:val="24"/>
        </w:rPr>
        <w:t>2021 m. –</w:t>
      </w:r>
      <w:r w:rsidR="000326FC">
        <w:rPr>
          <w:sz w:val="24"/>
          <w:szCs w:val="24"/>
        </w:rPr>
        <w:t xml:space="preserve"> </w:t>
      </w:r>
      <w:r w:rsidR="00D01BD7" w:rsidRPr="009752D7">
        <w:rPr>
          <w:sz w:val="24"/>
          <w:szCs w:val="24"/>
        </w:rPr>
        <w:t xml:space="preserve">9,7 </w:t>
      </w:r>
      <w:r w:rsidRPr="009752D7">
        <w:rPr>
          <w:sz w:val="24"/>
          <w:szCs w:val="24"/>
        </w:rPr>
        <w:t xml:space="preserve">mln. eurų </w:t>
      </w:r>
    </w:p>
    <w:p w:rsidR="00D01BD7" w:rsidRPr="009752D7" w:rsidRDefault="00C50E3A">
      <w:pPr>
        <w:ind w:firstLine="720"/>
        <w:jc w:val="both"/>
        <w:rPr>
          <w:sz w:val="24"/>
          <w:szCs w:val="24"/>
        </w:rPr>
      </w:pPr>
      <w:r w:rsidRPr="009752D7">
        <w:rPr>
          <w:sz w:val="24"/>
          <w:szCs w:val="24"/>
        </w:rPr>
        <w:t>Savivaldybės veiklos valdymo programoje</w:t>
      </w:r>
      <w:r w:rsidR="00D01BD7" w:rsidRPr="009752D7">
        <w:rPr>
          <w:sz w:val="24"/>
          <w:szCs w:val="24"/>
        </w:rPr>
        <w:t>:</w:t>
      </w:r>
    </w:p>
    <w:p w:rsidR="00D01BD7" w:rsidRPr="009752D7" w:rsidRDefault="00D01BD7">
      <w:pPr>
        <w:ind w:firstLine="720"/>
        <w:jc w:val="both"/>
        <w:rPr>
          <w:sz w:val="24"/>
          <w:szCs w:val="24"/>
        </w:rPr>
      </w:pPr>
      <w:r w:rsidRPr="009752D7">
        <w:rPr>
          <w:sz w:val="24"/>
          <w:szCs w:val="24"/>
        </w:rPr>
        <w:t>2018 m. –</w:t>
      </w:r>
      <w:r w:rsidR="000326FC">
        <w:rPr>
          <w:sz w:val="24"/>
          <w:szCs w:val="24"/>
        </w:rPr>
        <w:t xml:space="preserve"> </w:t>
      </w:r>
      <w:r w:rsidR="00910DE3" w:rsidRPr="009752D7">
        <w:rPr>
          <w:sz w:val="24"/>
          <w:szCs w:val="24"/>
        </w:rPr>
        <w:t>0,2</w:t>
      </w:r>
      <w:r w:rsidRPr="009752D7">
        <w:rPr>
          <w:sz w:val="24"/>
          <w:szCs w:val="24"/>
        </w:rPr>
        <w:t xml:space="preserve"> mln. eurų</w:t>
      </w:r>
    </w:p>
    <w:p w:rsidR="00D01BD7" w:rsidRPr="009752D7" w:rsidRDefault="00D01BD7">
      <w:pPr>
        <w:ind w:firstLine="720"/>
        <w:jc w:val="both"/>
        <w:rPr>
          <w:sz w:val="24"/>
          <w:szCs w:val="24"/>
        </w:rPr>
      </w:pPr>
      <w:r w:rsidRPr="009752D7">
        <w:rPr>
          <w:sz w:val="24"/>
          <w:szCs w:val="24"/>
        </w:rPr>
        <w:t>2019 m. –</w:t>
      </w:r>
      <w:r w:rsidR="000326FC">
        <w:rPr>
          <w:sz w:val="24"/>
          <w:szCs w:val="24"/>
        </w:rPr>
        <w:t xml:space="preserve"> </w:t>
      </w:r>
      <w:r w:rsidR="00910DE3" w:rsidRPr="009752D7">
        <w:rPr>
          <w:sz w:val="24"/>
          <w:szCs w:val="24"/>
        </w:rPr>
        <w:t>0,2</w:t>
      </w:r>
      <w:r w:rsidRPr="009752D7">
        <w:rPr>
          <w:sz w:val="24"/>
          <w:szCs w:val="24"/>
        </w:rPr>
        <w:t xml:space="preserve"> mln. eurų</w:t>
      </w:r>
    </w:p>
    <w:p w:rsidR="00D01BD7" w:rsidRPr="009752D7" w:rsidRDefault="00D01BD7">
      <w:pPr>
        <w:ind w:firstLine="720"/>
        <w:jc w:val="both"/>
        <w:rPr>
          <w:sz w:val="24"/>
          <w:szCs w:val="24"/>
        </w:rPr>
      </w:pPr>
      <w:r w:rsidRPr="009752D7">
        <w:rPr>
          <w:sz w:val="24"/>
          <w:szCs w:val="24"/>
        </w:rPr>
        <w:t>2020 m. –</w:t>
      </w:r>
      <w:r w:rsidR="000326FC">
        <w:rPr>
          <w:sz w:val="24"/>
          <w:szCs w:val="24"/>
        </w:rPr>
        <w:t xml:space="preserve"> </w:t>
      </w:r>
      <w:r w:rsidR="00910DE3" w:rsidRPr="009752D7">
        <w:rPr>
          <w:sz w:val="24"/>
          <w:szCs w:val="24"/>
        </w:rPr>
        <w:t>0,5</w:t>
      </w:r>
      <w:r w:rsidRPr="009752D7">
        <w:rPr>
          <w:sz w:val="24"/>
          <w:szCs w:val="24"/>
        </w:rPr>
        <w:t xml:space="preserve"> mln. eurų</w:t>
      </w:r>
    </w:p>
    <w:p w:rsidR="00D01BD7" w:rsidRPr="009752D7" w:rsidRDefault="00D01BD7">
      <w:pPr>
        <w:ind w:firstLine="720"/>
        <w:jc w:val="both"/>
        <w:rPr>
          <w:sz w:val="24"/>
          <w:szCs w:val="24"/>
        </w:rPr>
      </w:pPr>
      <w:r w:rsidRPr="009752D7">
        <w:rPr>
          <w:sz w:val="24"/>
          <w:szCs w:val="24"/>
        </w:rPr>
        <w:t>2021 m. –</w:t>
      </w:r>
      <w:r w:rsidR="000326FC">
        <w:rPr>
          <w:sz w:val="24"/>
          <w:szCs w:val="24"/>
        </w:rPr>
        <w:t xml:space="preserve"> </w:t>
      </w:r>
      <w:r w:rsidRPr="009752D7">
        <w:rPr>
          <w:sz w:val="24"/>
          <w:szCs w:val="24"/>
        </w:rPr>
        <w:t>1.9 mln. eurų</w:t>
      </w:r>
      <w:r w:rsidR="00C50E3A" w:rsidRPr="009752D7">
        <w:rPr>
          <w:sz w:val="24"/>
          <w:szCs w:val="24"/>
        </w:rPr>
        <w:t xml:space="preserve"> </w:t>
      </w:r>
    </w:p>
    <w:p w:rsidR="00D01BD7" w:rsidRPr="009752D7" w:rsidRDefault="00C50E3A">
      <w:pPr>
        <w:ind w:firstLine="720"/>
        <w:jc w:val="both"/>
        <w:rPr>
          <w:sz w:val="24"/>
          <w:szCs w:val="24"/>
        </w:rPr>
      </w:pPr>
      <w:r w:rsidRPr="009752D7">
        <w:rPr>
          <w:sz w:val="24"/>
          <w:szCs w:val="24"/>
        </w:rPr>
        <w:t>Infrastruktūros objektų priežiūros ir ūkinių subjektų rėmimo programoje</w:t>
      </w:r>
      <w:r w:rsidR="00D01BD7" w:rsidRPr="009752D7">
        <w:rPr>
          <w:sz w:val="24"/>
          <w:szCs w:val="24"/>
        </w:rPr>
        <w:t>:</w:t>
      </w:r>
    </w:p>
    <w:p w:rsidR="00D01BD7" w:rsidRPr="009752D7" w:rsidRDefault="00D01BD7">
      <w:pPr>
        <w:ind w:firstLine="720"/>
        <w:jc w:val="both"/>
        <w:rPr>
          <w:sz w:val="24"/>
          <w:szCs w:val="24"/>
        </w:rPr>
      </w:pPr>
      <w:r w:rsidRPr="009752D7">
        <w:rPr>
          <w:sz w:val="24"/>
          <w:szCs w:val="24"/>
        </w:rPr>
        <w:t>2018 m. –1,5 mln. eurų</w:t>
      </w:r>
    </w:p>
    <w:p w:rsidR="00D01BD7" w:rsidRPr="007A71C8" w:rsidRDefault="00D01BD7">
      <w:pPr>
        <w:ind w:firstLine="720"/>
        <w:jc w:val="both"/>
        <w:rPr>
          <w:sz w:val="24"/>
          <w:szCs w:val="24"/>
          <w:lang w:val="de-DE"/>
        </w:rPr>
      </w:pPr>
      <w:r w:rsidRPr="009752D7">
        <w:rPr>
          <w:sz w:val="24"/>
          <w:szCs w:val="24"/>
        </w:rPr>
        <w:t>2019 m. –2,8 mln. eurų</w:t>
      </w:r>
    </w:p>
    <w:p w:rsidR="00D01BD7" w:rsidRPr="009752D7" w:rsidRDefault="00D01BD7">
      <w:pPr>
        <w:ind w:firstLine="720"/>
        <w:jc w:val="both"/>
        <w:rPr>
          <w:sz w:val="24"/>
          <w:szCs w:val="24"/>
        </w:rPr>
      </w:pPr>
      <w:r w:rsidRPr="009752D7">
        <w:rPr>
          <w:sz w:val="24"/>
          <w:szCs w:val="24"/>
        </w:rPr>
        <w:t>2020 m. –4,0 mln. eurų</w:t>
      </w:r>
    </w:p>
    <w:p w:rsidR="001B1081" w:rsidRPr="009752D7" w:rsidRDefault="00D01BD7">
      <w:pPr>
        <w:ind w:firstLine="720"/>
        <w:jc w:val="both"/>
        <w:rPr>
          <w:sz w:val="24"/>
          <w:szCs w:val="24"/>
        </w:rPr>
      </w:pPr>
      <w:r w:rsidRPr="009752D7">
        <w:rPr>
          <w:sz w:val="24"/>
          <w:szCs w:val="24"/>
        </w:rPr>
        <w:t>2021 m. –2,1 mln. eurų</w:t>
      </w:r>
    </w:p>
    <w:p w:rsidR="00DC31EA" w:rsidRPr="009752D7" w:rsidRDefault="00DC31EA" w:rsidP="00701AA5">
      <w:pPr>
        <w:ind w:firstLine="720"/>
        <w:jc w:val="both"/>
        <w:rPr>
          <w:sz w:val="24"/>
          <w:szCs w:val="24"/>
        </w:rPr>
      </w:pPr>
      <w:r w:rsidRPr="009752D7">
        <w:rPr>
          <w:sz w:val="24"/>
          <w:szCs w:val="24"/>
        </w:rPr>
        <w:t xml:space="preserve">Kitos išlaidos dėl didėjusio </w:t>
      </w:r>
      <w:r w:rsidR="00910DE3" w:rsidRPr="009752D7">
        <w:rPr>
          <w:sz w:val="24"/>
          <w:szCs w:val="24"/>
        </w:rPr>
        <w:t>biudžeto, padidėjusių kainų 2021</w:t>
      </w:r>
      <w:r w:rsidRPr="009752D7">
        <w:rPr>
          <w:sz w:val="24"/>
          <w:szCs w:val="24"/>
        </w:rPr>
        <w:t xml:space="preserve"> metais taip pat didėjo. N</w:t>
      </w:r>
      <w:r w:rsidR="003229C0" w:rsidRPr="009752D7">
        <w:rPr>
          <w:sz w:val="24"/>
          <w:szCs w:val="24"/>
        </w:rPr>
        <w:t xml:space="preserve">emaža dalis </w:t>
      </w:r>
      <w:r w:rsidRPr="009752D7">
        <w:rPr>
          <w:sz w:val="24"/>
          <w:szCs w:val="24"/>
        </w:rPr>
        <w:t xml:space="preserve">iš asignavimų </w:t>
      </w:r>
      <w:proofErr w:type="spellStart"/>
      <w:r w:rsidRPr="009752D7">
        <w:rPr>
          <w:sz w:val="24"/>
          <w:szCs w:val="24"/>
        </w:rPr>
        <w:t>savarankiškosioms</w:t>
      </w:r>
      <w:proofErr w:type="spellEnd"/>
      <w:r w:rsidRPr="009752D7">
        <w:rPr>
          <w:sz w:val="24"/>
          <w:szCs w:val="24"/>
        </w:rPr>
        <w:t xml:space="preserve"> funkcijoms vykdyti kitų išlaidų buvo naudojama įvairiems projektams finansuoti, vietinės reikšmės keliams (gatvėms) tiesti, taisyti, prižiūrėti, infrastruktūros objektams planuoti, prižiūrėti ir statyti. </w:t>
      </w:r>
    </w:p>
    <w:p w:rsidR="00CA4026" w:rsidRPr="009752D7" w:rsidRDefault="00111229" w:rsidP="00701AA5">
      <w:pPr>
        <w:tabs>
          <w:tab w:val="left" w:pos="567"/>
          <w:tab w:val="left" w:pos="709"/>
          <w:tab w:val="left" w:pos="851"/>
        </w:tabs>
        <w:ind w:firstLine="720"/>
        <w:jc w:val="both"/>
        <w:rPr>
          <w:sz w:val="24"/>
          <w:szCs w:val="24"/>
        </w:rPr>
      </w:pPr>
      <w:r w:rsidRPr="009752D7">
        <w:rPr>
          <w:sz w:val="24"/>
          <w:szCs w:val="24"/>
        </w:rPr>
        <w:t>K</w:t>
      </w:r>
      <w:r w:rsidR="001B1081" w:rsidRPr="009752D7">
        <w:rPr>
          <w:sz w:val="24"/>
          <w:szCs w:val="24"/>
        </w:rPr>
        <w:t>itų išlaidų dalis 2018</w:t>
      </w:r>
      <w:r w:rsidR="000326FC">
        <w:rPr>
          <w:sz w:val="24"/>
          <w:szCs w:val="24"/>
        </w:rPr>
        <w:t>-</w:t>
      </w:r>
      <w:r w:rsidR="00DC31EA" w:rsidRPr="009752D7">
        <w:rPr>
          <w:sz w:val="24"/>
          <w:szCs w:val="24"/>
        </w:rPr>
        <w:t>2019 metų biu</w:t>
      </w:r>
      <w:r w:rsidR="00DD2ACA" w:rsidRPr="009752D7">
        <w:rPr>
          <w:sz w:val="24"/>
          <w:szCs w:val="24"/>
        </w:rPr>
        <w:t xml:space="preserve">džetuose </w:t>
      </w:r>
      <w:r w:rsidR="00F227CA" w:rsidRPr="009752D7">
        <w:rPr>
          <w:sz w:val="24"/>
          <w:szCs w:val="24"/>
        </w:rPr>
        <w:t>nelabai</w:t>
      </w:r>
      <w:r w:rsidR="00DD2ACA" w:rsidRPr="009752D7">
        <w:rPr>
          <w:sz w:val="24"/>
          <w:szCs w:val="24"/>
        </w:rPr>
        <w:t xml:space="preserve"> </w:t>
      </w:r>
      <w:r w:rsidR="003229C0" w:rsidRPr="009752D7">
        <w:rPr>
          <w:sz w:val="24"/>
          <w:szCs w:val="24"/>
        </w:rPr>
        <w:t xml:space="preserve">skiriasi </w:t>
      </w:r>
      <w:r w:rsidR="00DD2ACA" w:rsidRPr="009752D7">
        <w:rPr>
          <w:sz w:val="24"/>
          <w:szCs w:val="24"/>
        </w:rPr>
        <w:t>(</w:t>
      </w:r>
      <w:r w:rsidR="00CA4026" w:rsidRPr="009752D7">
        <w:rPr>
          <w:sz w:val="24"/>
          <w:szCs w:val="24"/>
        </w:rPr>
        <w:t>10,2</w:t>
      </w:r>
      <w:r w:rsidR="000326FC">
        <w:rPr>
          <w:sz w:val="24"/>
          <w:szCs w:val="24"/>
        </w:rPr>
        <w:t>-</w:t>
      </w:r>
      <w:r w:rsidR="00CA4026" w:rsidRPr="009752D7">
        <w:rPr>
          <w:sz w:val="24"/>
          <w:szCs w:val="24"/>
        </w:rPr>
        <w:t>10,9</w:t>
      </w:r>
      <w:r w:rsidR="00DD2ACA" w:rsidRPr="009752D7">
        <w:rPr>
          <w:sz w:val="24"/>
          <w:szCs w:val="24"/>
        </w:rPr>
        <w:t xml:space="preserve"> mln. eurų)</w:t>
      </w:r>
      <w:r w:rsidR="000F52C2" w:rsidRPr="009752D7">
        <w:rPr>
          <w:sz w:val="24"/>
          <w:szCs w:val="24"/>
        </w:rPr>
        <w:t>,</w:t>
      </w:r>
      <w:r w:rsidR="00F227CA" w:rsidRPr="009752D7">
        <w:rPr>
          <w:sz w:val="24"/>
          <w:szCs w:val="24"/>
        </w:rPr>
        <w:t xml:space="preserve"> bet</w:t>
      </w:r>
      <w:r w:rsidR="00DD2ACA" w:rsidRPr="009752D7">
        <w:rPr>
          <w:sz w:val="24"/>
          <w:szCs w:val="24"/>
        </w:rPr>
        <w:t xml:space="preserve"> 2020</w:t>
      </w:r>
      <w:r w:rsidR="000326FC">
        <w:rPr>
          <w:sz w:val="24"/>
          <w:szCs w:val="24"/>
        </w:rPr>
        <w:t>-</w:t>
      </w:r>
      <w:r w:rsidR="00CA4026" w:rsidRPr="009752D7">
        <w:rPr>
          <w:sz w:val="24"/>
          <w:szCs w:val="24"/>
        </w:rPr>
        <w:t xml:space="preserve">2021 </w:t>
      </w:r>
      <w:r w:rsidR="00DD2ACA" w:rsidRPr="009752D7">
        <w:rPr>
          <w:sz w:val="24"/>
          <w:szCs w:val="24"/>
        </w:rPr>
        <w:t>metais kitų išlaidų dalis sudarė 13,3</w:t>
      </w:r>
      <w:r w:rsidR="000326FC">
        <w:rPr>
          <w:sz w:val="24"/>
          <w:szCs w:val="24"/>
        </w:rPr>
        <w:t>-</w:t>
      </w:r>
      <w:r w:rsidR="00CA4026" w:rsidRPr="009752D7">
        <w:rPr>
          <w:sz w:val="24"/>
          <w:szCs w:val="24"/>
        </w:rPr>
        <w:t>14,3</w:t>
      </w:r>
      <w:r w:rsidR="00DD2ACA" w:rsidRPr="009752D7">
        <w:rPr>
          <w:sz w:val="24"/>
          <w:szCs w:val="24"/>
        </w:rPr>
        <w:t xml:space="preserve"> mln. eurų.</w:t>
      </w:r>
      <w:r w:rsidR="00F227CA" w:rsidRPr="009752D7">
        <w:rPr>
          <w:sz w:val="24"/>
          <w:szCs w:val="24"/>
        </w:rPr>
        <w:t xml:space="preserve"> </w:t>
      </w:r>
      <w:r w:rsidR="00CA4026" w:rsidRPr="009752D7">
        <w:rPr>
          <w:sz w:val="24"/>
          <w:szCs w:val="24"/>
        </w:rPr>
        <w:t xml:space="preserve">Asignavimų </w:t>
      </w:r>
      <w:r w:rsidR="0031434D" w:rsidRPr="009752D7">
        <w:rPr>
          <w:sz w:val="24"/>
          <w:szCs w:val="24"/>
        </w:rPr>
        <w:t>išlaidoms (be darbo užmokesčio)</w:t>
      </w:r>
      <w:r w:rsidR="00F227CA" w:rsidRPr="009752D7">
        <w:rPr>
          <w:sz w:val="24"/>
          <w:szCs w:val="24"/>
        </w:rPr>
        <w:t xml:space="preserve"> didėjimą lėmė didesnės išlaidos Ekonominės ir projektinės veiklos programoje</w:t>
      </w:r>
      <w:r w:rsidR="00CA4026" w:rsidRPr="009752D7">
        <w:rPr>
          <w:sz w:val="24"/>
          <w:szCs w:val="24"/>
        </w:rPr>
        <w:t>:</w:t>
      </w:r>
    </w:p>
    <w:p w:rsidR="00CA4026" w:rsidRPr="009752D7" w:rsidRDefault="00CA4026" w:rsidP="00701AA5">
      <w:pPr>
        <w:tabs>
          <w:tab w:val="left" w:pos="567"/>
          <w:tab w:val="left" w:pos="709"/>
          <w:tab w:val="left" w:pos="851"/>
        </w:tabs>
        <w:ind w:firstLine="720"/>
        <w:jc w:val="both"/>
        <w:rPr>
          <w:sz w:val="24"/>
          <w:szCs w:val="24"/>
        </w:rPr>
      </w:pPr>
      <w:r w:rsidRPr="009752D7">
        <w:rPr>
          <w:sz w:val="24"/>
          <w:szCs w:val="24"/>
        </w:rPr>
        <w:t xml:space="preserve">2018 m. – </w:t>
      </w:r>
      <w:r w:rsidR="00113945" w:rsidRPr="009752D7">
        <w:rPr>
          <w:sz w:val="24"/>
          <w:szCs w:val="24"/>
        </w:rPr>
        <w:t>0,3</w:t>
      </w:r>
      <w:r w:rsidRPr="009752D7">
        <w:rPr>
          <w:sz w:val="24"/>
          <w:szCs w:val="24"/>
        </w:rPr>
        <w:t xml:space="preserve"> mln. eurų</w:t>
      </w:r>
    </w:p>
    <w:p w:rsidR="00CA4026" w:rsidRPr="009752D7" w:rsidRDefault="00CA4026" w:rsidP="00701AA5">
      <w:pPr>
        <w:tabs>
          <w:tab w:val="left" w:pos="567"/>
          <w:tab w:val="left" w:pos="709"/>
          <w:tab w:val="left" w:pos="851"/>
        </w:tabs>
        <w:ind w:firstLine="720"/>
        <w:jc w:val="both"/>
        <w:rPr>
          <w:sz w:val="24"/>
          <w:szCs w:val="24"/>
        </w:rPr>
      </w:pPr>
      <w:r w:rsidRPr="009752D7">
        <w:rPr>
          <w:sz w:val="24"/>
          <w:szCs w:val="24"/>
        </w:rPr>
        <w:t>2019 m. –</w:t>
      </w:r>
      <w:r w:rsidR="007C0CE3" w:rsidRPr="009752D7">
        <w:rPr>
          <w:sz w:val="24"/>
          <w:szCs w:val="24"/>
        </w:rPr>
        <w:t xml:space="preserve"> 0,6</w:t>
      </w:r>
      <w:r w:rsidRPr="009752D7">
        <w:rPr>
          <w:sz w:val="24"/>
          <w:szCs w:val="24"/>
        </w:rPr>
        <w:t xml:space="preserve"> mln. eurų</w:t>
      </w:r>
    </w:p>
    <w:p w:rsidR="00CA4026" w:rsidRPr="009752D7" w:rsidRDefault="00CA4026" w:rsidP="00701AA5">
      <w:pPr>
        <w:tabs>
          <w:tab w:val="left" w:pos="567"/>
          <w:tab w:val="left" w:pos="709"/>
          <w:tab w:val="left" w:pos="851"/>
        </w:tabs>
        <w:ind w:firstLine="720"/>
        <w:jc w:val="both"/>
        <w:rPr>
          <w:sz w:val="24"/>
          <w:szCs w:val="24"/>
        </w:rPr>
      </w:pPr>
      <w:r w:rsidRPr="009752D7">
        <w:rPr>
          <w:sz w:val="24"/>
          <w:szCs w:val="24"/>
        </w:rPr>
        <w:t>2020 m. –</w:t>
      </w:r>
      <w:r w:rsidR="000326FC">
        <w:rPr>
          <w:sz w:val="24"/>
          <w:szCs w:val="24"/>
        </w:rPr>
        <w:t xml:space="preserve"> </w:t>
      </w:r>
      <w:r w:rsidR="007C0CE3" w:rsidRPr="009752D7">
        <w:rPr>
          <w:sz w:val="24"/>
          <w:szCs w:val="24"/>
        </w:rPr>
        <w:t>1,7</w:t>
      </w:r>
      <w:r w:rsidR="0031434D" w:rsidRPr="009752D7">
        <w:rPr>
          <w:sz w:val="24"/>
          <w:szCs w:val="24"/>
        </w:rPr>
        <w:t xml:space="preserve"> </w:t>
      </w:r>
      <w:r w:rsidRPr="009752D7">
        <w:rPr>
          <w:sz w:val="24"/>
          <w:szCs w:val="24"/>
        </w:rPr>
        <w:t>mln. eurų</w:t>
      </w:r>
    </w:p>
    <w:p w:rsidR="00CA4026" w:rsidRPr="009752D7" w:rsidRDefault="00CA4026" w:rsidP="00701AA5">
      <w:pPr>
        <w:tabs>
          <w:tab w:val="left" w:pos="567"/>
          <w:tab w:val="left" w:pos="709"/>
          <w:tab w:val="left" w:pos="851"/>
        </w:tabs>
        <w:ind w:firstLine="720"/>
        <w:jc w:val="both"/>
        <w:rPr>
          <w:sz w:val="24"/>
          <w:szCs w:val="24"/>
        </w:rPr>
      </w:pPr>
      <w:r w:rsidRPr="009752D7">
        <w:rPr>
          <w:sz w:val="24"/>
          <w:szCs w:val="24"/>
        </w:rPr>
        <w:t>2021 m. –</w:t>
      </w:r>
      <w:r w:rsidR="000326FC">
        <w:rPr>
          <w:sz w:val="24"/>
          <w:szCs w:val="24"/>
        </w:rPr>
        <w:t xml:space="preserve"> </w:t>
      </w:r>
      <w:r w:rsidR="0031434D" w:rsidRPr="009752D7">
        <w:rPr>
          <w:sz w:val="24"/>
          <w:szCs w:val="24"/>
        </w:rPr>
        <w:t xml:space="preserve">1,0 </w:t>
      </w:r>
      <w:r w:rsidRPr="009752D7">
        <w:rPr>
          <w:sz w:val="24"/>
          <w:szCs w:val="24"/>
        </w:rPr>
        <w:t xml:space="preserve">mln. eurų </w:t>
      </w:r>
    </w:p>
    <w:p w:rsidR="00DC31EA" w:rsidRPr="009752D7" w:rsidRDefault="00CA4026" w:rsidP="00701AA5">
      <w:pPr>
        <w:tabs>
          <w:tab w:val="left" w:pos="567"/>
          <w:tab w:val="left" w:pos="709"/>
          <w:tab w:val="left" w:pos="851"/>
        </w:tabs>
        <w:ind w:firstLine="720"/>
        <w:jc w:val="both"/>
        <w:rPr>
          <w:sz w:val="24"/>
          <w:szCs w:val="24"/>
        </w:rPr>
      </w:pPr>
      <w:r w:rsidRPr="009752D7">
        <w:rPr>
          <w:sz w:val="24"/>
          <w:szCs w:val="24"/>
        </w:rPr>
        <w:t>T</w:t>
      </w:r>
      <w:r w:rsidR="0031434D" w:rsidRPr="009752D7">
        <w:rPr>
          <w:sz w:val="24"/>
          <w:szCs w:val="24"/>
        </w:rPr>
        <w:t>aip pat didėjo skiriami asignavimai išlaidoms</w:t>
      </w:r>
      <w:r w:rsidRPr="009752D7">
        <w:rPr>
          <w:sz w:val="24"/>
          <w:szCs w:val="24"/>
        </w:rPr>
        <w:t xml:space="preserve"> ir </w:t>
      </w:r>
      <w:r w:rsidR="00F227CA" w:rsidRPr="009752D7">
        <w:rPr>
          <w:sz w:val="24"/>
          <w:szCs w:val="24"/>
        </w:rPr>
        <w:t>Infrastruktūros objektų priežiūros ir ūkinių subjektų rėmimo programoje (20</w:t>
      </w:r>
      <w:r w:rsidR="00113945" w:rsidRPr="009752D7">
        <w:rPr>
          <w:sz w:val="24"/>
          <w:szCs w:val="24"/>
        </w:rPr>
        <w:t>20</w:t>
      </w:r>
      <w:r w:rsidR="00F227CA" w:rsidRPr="009752D7">
        <w:rPr>
          <w:sz w:val="24"/>
          <w:szCs w:val="24"/>
        </w:rPr>
        <w:t xml:space="preserve"> metais).</w:t>
      </w:r>
    </w:p>
    <w:p w:rsidR="00CA4026" w:rsidRPr="009752D7" w:rsidRDefault="00CA4026" w:rsidP="00701AA5">
      <w:pPr>
        <w:tabs>
          <w:tab w:val="left" w:pos="567"/>
          <w:tab w:val="left" w:pos="709"/>
          <w:tab w:val="left" w:pos="851"/>
        </w:tabs>
        <w:ind w:firstLine="720"/>
        <w:jc w:val="both"/>
        <w:rPr>
          <w:sz w:val="24"/>
          <w:szCs w:val="24"/>
        </w:rPr>
      </w:pPr>
      <w:r w:rsidRPr="009752D7">
        <w:rPr>
          <w:sz w:val="24"/>
          <w:szCs w:val="24"/>
        </w:rPr>
        <w:t>2018 m. – 1</w:t>
      </w:r>
      <w:r w:rsidR="0031434D" w:rsidRPr="009752D7">
        <w:rPr>
          <w:sz w:val="24"/>
          <w:szCs w:val="24"/>
        </w:rPr>
        <w:t>,0</w:t>
      </w:r>
      <w:r w:rsidRPr="009752D7">
        <w:rPr>
          <w:sz w:val="24"/>
          <w:szCs w:val="24"/>
        </w:rPr>
        <w:t xml:space="preserve"> mln. eurų</w:t>
      </w:r>
    </w:p>
    <w:p w:rsidR="00CA4026" w:rsidRPr="009752D7" w:rsidRDefault="00CA4026" w:rsidP="00701AA5">
      <w:pPr>
        <w:tabs>
          <w:tab w:val="left" w:pos="567"/>
          <w:tab w:val="left" w:pos="709"/>
          <w:tab w:val="left" w:pos="851"/>
        </w:tabs>
        <w:ind w:firstLine="720"/>
        <w:jc w:val="both"/>
        <w:rPr>
          <w:sz w:val="24"/>
          <w:szCs w:val="24"/>
        </w:rPr>
      </w:pPr>
      <w:r w:rsidRPr="009752D7">
        <w:rPr>
          <w:sz w:val="24"/>
          <w:szCs w:val="24"/>
        </w:rPr>
        <w:t>2019 m. –</w:t>
      </w:r>
      <w:r w:rsidR="000326FC">
        <w:rPr>
          <w:sz w:val="24"/>
          <w:szCs w:val="24"/>
        </w:rPr>
        <w:t xml:space="preserve"> </w:t>
      </w:r>
      <w:r w:rsidR="0031434D" w:rsidRPr="009752D7">
        <w:rPr>
          <w:sz w:val="24"/>
          <w:szCs w:val="24"/>
        </w:rPr>
        <w:t>1,0</w:t>
      </w:r>
      <w:r w:rsidRPr="009752D7">
        <w:rPr>
          <w:sz w:val="24"/>
          <w:szCs w:val="24"/>
        </w:rPr>
        <w:t xml:space="preserve"> mln. eurų</w:t>
      </w:r>
    </w:p>
    <w:p w:rsidR="00CA4026" w:rsidRPr="009752D7" w:rsidRDefault="00CA4026" w:rsidP="00701AA5">
      <w:pPr>
        <w:tabs>
          <w:tab w:val="left" w:pos="567"/>
          <w:tab w:val="left" w:pos="709"/>
          <w:tab w:val="left" w:pos="851"/>
        </w:tabs>
        <w:ind w:firstLine="720"/>
        <w:jc w:val="both"/>
        <w:rPr>
          <w:sz w:val="24"/>
          <w:szCs w:val="24"/>
        </w:rPr>
      </w:pPr>
      <w:r w:rsidRPr="009752D7">
        <w:rPr>
          <w:sz w:val="24"/>
          <w:szCs w:val="24"/>
        </w:rPr>
        <w:lastRenderedPageBreak/>
        <w:t>2020 m. –</w:t>
      </w:r>
      <w:r w:rsidR="000326FC">
        <w:rPr>
          <w:sz w:val="24"/>
          <w:szCs w:val="24"/>
        </w:rPr>
        <w:t xml:space="preserve"> </w:t>
      </w:r>
      <w:r w:rsidR="0031434D" w:rsidRPr="009752D7">
        <w:rPr>
          <w:sz w:val="24"/>
          <w:szCs w:val="24"/>
        </w:rPr>
        <w:t xml:space="preserve">1,7 </w:t>
      </w:r>
      <w:r w:rsidRPr="009752D7">
        <w:rPr>
          <w:sz w:val="24"/>
          <w:szCs w:val="24"/>
        </w:rPr>
        <w:t xml:space="preserve">mln. eurų </w:t>
      </w:r>
    </w:p>
    <w:p w:rsidR="00B82585" w:rsidRDefault="00CA4026" w:rsidP="00701AA5">
      <w:pPr>
        <w:tabs>
          <w:tab w:val="left" w:pos="567"/>
          <w:tab w:val="left" w:pos="709"/>
          <w:tab w:val="left" w:pos="851"/>
        </w:tabs>
        <w:ind w:firstLine="720"/>
        <w:jc w:val="both"/>
        <w:rPr>
          <w:sz w:val="24"/>
          <w:szCs w:val="24"/>
        </w:rPr>
      </w:pPr>
      <w:r w:rsidRPr="009752D7">
        <w:rPr>
          <w:sz w:val="24"/>
          <w:szCs w:val="24"/>
        </w:rPr>
        <w:t>2021 m. –</w:t>
      </w:r>
      <w:r w:rsidR="000326FC">
        <w:rPr>
          <w:sz w:val="24"/>
          <w:szCs w:val="24"/>
        </w:rPr>
        <w:t xml:space="preserve"> </w:t>
      </w:r>
      <w:r w:rsidR="0031434D" w:rsidRPr="009752D7">
        <w:rPr>
          <w:sz w:val="24"/>
          <w:szCs w:val="24"/>
        </w:rPr>
        <w:t xml:space="preserve">0,8 </w:t>
      </w:r>
      <w:r w:rsidRPr="009752D7">
        <w:rPr>
          <w:sz w:val="24"/>
          <w:szCs w:val="24"/>
        </w:rPr>
        <w:t>mln. eurų</w:t>
      </w:r>
    </w:p>
    <w:p w:rsidR="0031434D" w:rsidRPr="009752D7" w:rsidRDefault="0031434D" w:rsidP="00701AA5">
      <w:pPr>
        <w:tabs>
          <w:tab w:val="left" w:pos="567"/>
          <w:tab w:val="left" w:pos="709"/>
          <w:tab w:val="left" w:pos="851"/>
        </w:tabs>
        <w:ind w:firstLine="720"/>
        <w:jc w:val="both"/>
        <w:rPr>
          <w:sz w:val="24"/>
          <w:szCs w:val="24"/>
        </w:rPr>
      </w:pPr>
      <w:r w:rsidRPr="009752D7">
        <w:rPr>
          <w:sz w:val="24"/>
          <w:szCs w:val="24"/>
        </w:rPr>
        <w:t>Didėjo asignavimai</w:t>
      </w:r>
      <w:r w:rsidR="007C0CE3" w:rsidRPr="009752D7">
        <w:rPr>
          <w:sz w:val="24"/>
          <w:szCs w:val="24"/>
        </w:rPr>
        <w:t xml:space="preserve"> (be darbo užmokesčio)</w:t>
      </w:r>
      <w:r w:rsidRPr="009752D7">
        <w:rPr>
          <w:sz w:val="24"/>
          <w:szCs w:val="24"/>
        </w:rPr>
        <w:t xml:space="preserve"> išlaidoms ir kitose programose.</w:t>
      </w:r>
      <w:r w:rsidRPr="009752D7">
        <w:t xml:space="preserve"> </w:t>
      </w:r>
      <w:r w:rsidR="00113945" w:rsidRPr="009752D7">
        <w:rPr>
          <w:sz w:val="24"/>
          <w:szCs w:val="24"/>
        </w:rPr>
        <w:t>Asignavimai</w:t>
      </w:r>
      <w:r w:rsidR="00113945" w:rsidRPr="009752D7">
        <w:t xml:space="preserve"> </w:t>
      </w:r>
      <w:r w:rsidRPr="009752D7">
        <w:rPr>
          <w:sz w:val="24"/>
          <w:szCs w:val="24"/>
        </w:rPr>
        <w:t>Socialiai saugios ir sv</w:t>
      </w:r>
      <w:r w:rsidR="00113945" w:rsidRPr="009752D7">
        <w:rPr>
          <w:sz w:val="24"/>
          <w:szCs w:val="24"/>
        </w:rPr>
        <w:t>eikos aplinkos kūrimo programai</w:t>
      </w:r>
      <w:r w:rsidR="007C0CE3" w:rsidRPr="009752D7">
        <w:rPr>
          <w:sz w:val="24"/>
          <w:szCs w:val="24"/>
        </w:rPr>
        <w:t xml:space="preserve"> </w:t>
      </w:r>
      <w:r w:rsidR="00113945" w:rsidRPr="009752D7">
        <w:rPr>
          <w:sz w:val="24"/>
          <w:szCs w:val="24"/>
        </w:rPr>
        <w:t xml:space="preserve">labai </w:t>
      </w:r>
      <w:r w:rsidR="007C0CE3" w:rsidRPr="009752D7">
        <w:rPr>
          <w:sz w:val="24"/>
          <w:szCs w:val="24"/>
        </w:rPr>
        <w:t>didėjo 2021 metais</w:t>
      </w:r>
      <w:r w:rsidRPr="009752D7">
        <w:rPr>
          <w:sz w:val="24"/>
          <w:szCs w:val="24"/>
        </w:rPr>
        <w:t>:</w:t>
      </w:r>
    </w:p>
    <w:p w:rsidR="0031434D" w:rsidRPr="009752D7" w:rsidRDefault="0031434D" w:rsidP="00701AA5">
      <w:pPr>
        <w:tabs>
          <w:tab w:val="left" w:pos="567"/>
          <w:tab w:val="left" w:pos="709"/>
          <w:tab w:val="left" w:pos="851"/>
        </w:tabs>
        <w:ind w:firstLine="720"/>
        <w:jc w:val="both"/>
        <w:rPr>
          <w:sz w:val="24"/>
          <w:szCs w:val="24"/>
        </w:rPr>
      </w:pPr>
      <w:r w:rsidRPr="009752D7">
        <w:rPr>
          <w:sz w:val="24"/>
          <w:szCs w:val="24"/>
        </w:rPr>
        <w:t xml:space="preserve">2018 m. – </w:t>
      </w:r>
      <w:r w:rsidR="00113945" w:rsidRPr="009752D7">
        <w:rPr>
          <w:sz w:val="24"/>
          <w:szCs w:val="24"/>
        </w:rPr>
        <w:t>3,8</w:t>
      </w:r>
      <w:r w:rsidRPr="009752D7">
        <w:rPr>
          <w:sz w:val="24"/>
          <w:szCs w:val="24"/>
        </w:rPr>
        <w:t xml:space="preserve"> mln. eurų</w:t>
      </w:r>
    </w:p>
    <w:p w:rsidR="0031434D" w:rsidRPr="009752D7" w:rsidRDefault="0031434D" w:rsidP="00701AA5">
      <w:pPr>
        <w:tabs>
          <w:tab w:val="left" w:pos="567"/>
          <w:tab w:val="left" w:pos="709"/>
          <w:tab w:val="left" w:pos="851"/>
        </w:tabs>
        <w:ind w:firstLine="720"/>
        <w:jc w:val="both"/>
        <w:rPr>
          <w:sz w:val="24"/>
          <w:szCs w:val="24"/>
        </w:rPr>
      </w:pPr>
      <w:r w:rsidRPr="009752D7">
        <w:rPr>
          <w:sz w:val="24"/>
          <w:szCs w:val="24"/>
        </w:rPr>
        <w:t xml:space="preserve">2019 m. – </w:t>
      </w:r>
      <w:r w:rsidR="007C0CE3" w:rsidRPr="009752D7">
        <w:rPr>
          <w:sz w:val="24"/>
          <w:szCs w:val="24"/>
        </w:rPr>
        <w:t>3,8</w:t>
      </w:r>
      <w:r w:rsidRPr="009752D7">
        <w:rPr>
          <w:sz w:val="24"/>
          <w:szCs w:val="24"/>
        </w:rPr>
        <w:t xml:space="preserve"> mln. eurų</w:t>
      </w:r>
    </w:p>
    <w:p w:rsidR="0031434D" w:rsidRPr="009752D7" w:rsidRDefault="0031434D" w:rsidP="00701AA5">
      <w:pPr>
        <w:tabs>
          <w:tab w:val="left" w:pos="567"/>
          <w:tab w:val="left" w:pos="709"/>
          <w:tab w:val="left" w:pos="851"/>
        </w:tabs>
        <w:ind w:firstLine="720"/>
        <w:jc w:val="both"/>
        <w:rPr>
          <w:sz w:val="24"/>
          <w:szCs w:val="24"/>
        </w:rPr>
      </w:pPr>
      <w:r w:rsidRPr="009752D7">
        <w:rPr>
          <w:sz w:val="24"/>
          <w:szCs w:val="24"/>
        </w:rPr>
        <w:t>2020 m. –</w:t>
      </w:r>
      <w:r w:rsidR="000326FC">
        <w:rPr>
          <w:sz w:val="24"/>
          <w:szCs w:val="24"/>
        </w:rPr>
        <w:t xml:space="preserve"> </w:t>
      </w:r>
      <w:r w:rsidR="007C0CE3" w:rsidRPr="009752D7">
        <w:rPr>
          <w:sz w:val="24"/>
          <w:szCs w:val="24"/>
        </w:rPr>
        <w:t>3,7</w:t>
      </w:r>
      <w:r w:rsidRPr="009752D7">
        <w:rPr>
          <w:sz w:val="24"/>
          <w:szCs w:val="24"/>
        </w:rPr>
        <w:t xml:space="preserve"> mln. eurų</w:t>
      </w:r>
    </w:p>
    <w:p w:rsidR="0031434D" w:rsidRDefault="0031434D" w:rsidP="00701AA5">
      <w:pPr>
        <w:tabs>
          <w:tab w:val="left" w:pos="567"/>
          <w:tab w:val="left" w:pos="709"/>
          <w:tab w:val="left" w:pos="851"/>
        </w:tabs>
        <w:ind w:firstLine="720"/>
        <w:jc w:val="both"/>
        <w:rPr>
          <w:sz w:val="24"/>
          <w:szCs w:val="24"/>
        </w:rPr>
      </w:pPr>
      <w:r w:rsidRPr="009752D7">
        <w:rPr>
          <w:sz w:val="24"/>
          <w:szCs w:val="24"/>
        </w:rPr>
        <w:t>2021 m. –</w:t>
      </w:r>
      <w:r w:rsidR="000326FC">
        <w:rPr>
          <w:sz w:val="24"/>
          <w:szCs w:val="24"/>
        </w:rPr>
        <w:t xml:space="preserve"> </w:t>
      </w:r>
      <w:r w:rsidR="007C0CE3" w:rsidRPr="009752D7">
        <w:rPr>
          <w:sz w:val="24"/>
          <w:szCs w:val="24"/>
        </w:rPr>
        <w:t>5,5</w:t>
      </w:r>
      <w:r w:rsidRPr="009752D7">
        <w:rPr>
          <w:sz w:val="24"/>
          <w:szCs w:val="24"/>
        </w:rPr>
        <w:t xml:space="preserve"> mln. eurų</w:t>
      </w:r>
    </w:p>
    <w:p w:rsidR="00043C5E" w:rsidRDefault="0031434D" w:rsidP="00C22B92">
      <w:pPr>
        <w:tabs>
          <w:tab w:val="left" w:pos="567"/>
          <w:tab w:val="left" w:pos="709"/>
          <w:tab w:val="left" w:pos="851"/>
        </w:tabs>
        <w:jc w:val="both"/>
        <w:rPr>
          <w:b/>
          <w:sz w:val="28"/>
          <w:szCs w:val="28"/>
        </w:rPr>
      </w:pPr>
      <w:r>
        <w:rPr>
          <w:b/>
          <w:sz w:val="28"/>
          <w:szCs w:val="28"/>
        </w:rPr>
        <w:t xml:space="preserve">          </w:t>
      </w:r>
    </w:p>
    <w:p w:rsidR="0081123C" w:rsidRPr="00ED5612" w:rsidRDefault="0081123C" w:rsidP="0081123C">
      <w:pPr>
        <w:ind w:firstLine="720"/>
        <w:jc w:val="center"/>
        <w:rPr>
          <w:b/>
          <w:sz w:val="28"/>
          <w:szCs w:val="28"/>
        </w:rPr>
      </w:pPr>
      <w:r w:rsidRPr="00ED5612">
        <w:rPr>
          <w:b/>
          <w:sz w:val="28"/>
          <w:szCs w:val="28"/>
        </w:rPr>
        <w:t>Išlaidos pagal funkcinę klasifikaciją</w:t>
      </w:r>
    </w:p>
    <w:p w:rsidR="00DB7A25" w:rsidRDefault="00DB7A25" w:rsidP="00063534">
      <w:pPr>
        <w:ind w:firstLine="720"/>
        <w:jc w:val="both"/>
        <w:rPr>
          <w:sz w:val="24"/>
          <w:szCs w:val="24"/>
        </w:rPr>
      </w:pPr>
    </w:p>
    <w:p w:rsidR="00DB7A25" w:rsidRDefault="002066F6" w:rsidP="00701AA5">
      <w:pPr>
        <w:ind w:firstLine="720"/>
        <w:jc w:val="both"/>
        <w:rPr>
          <w:sz w:val="24"/>
          <w:szCs w:val="24"/>
        </w:rPr>
      </w:pPr>
      <w:r>
        <w:rPr>
          <w:sz w:val="24"/>
          <w:szCs w:val="24"/>
        </w:rPr>
        <w:t>5</w:t>
      </w:r>
      <w:r w:rsidR="00DB7A25" w:rsidRPr="00AB5D51">
        <w:rPr>
          <w:sz w:val="24"/>
          <w:szCs w:val="24"/>
        </w:rPr>
        <w:t xml:space="preserve"> lentelėje ir </w:t>
      </w:r>
      <w:r>
        <w:rPr>
          <w:sz w:val="24"/>
          <w:szCs w:val="24"/>
        </w:rPr>
        <w:t>7</w:t>
      </w:r>
      <w:r w:rsidR="00543F33">
        <w:rPr>
          <w:sz w:val="24"/>
          <w:szCs w:val="24"/>
        </w:rPr>
        <w:t xml:space="preserve"> paveiksle parodyta, kaip 2021</w:t>
      </w:r>
      <w:r w:rsidR="00DB7A25" w:rsidRPr="00AB5D51">
        <w:rPr>
          <w:sz w:val="24"/>
          <w:szCs w:val="24"/>
        </w:rPr>
        <w:t xml:space="preserve"> m. buvo paskirstytos Savivaldybės biudžeto lėšos pagal funkcinę klasifikaciją.</w:t>
      </w:r>
    </w:p>
    <w:p w:rsidR="00043C5E" w:rsidRDefault="00043C5E" w:rsidP="00DB7A25">
      <w:pPr>
        <w:ind w:left="-142"/>
        <w:rPr>
          <w:sz w:val="24"/>
          <w:szCs w:val="24"/>
        </w:rPr>
      </w:pPr>
    </w:p>
    <w:p w:rsidR="00DB7A25" w:rsidRPr="009752D7" w:rsidRDefault="002066F6" w:rsidP="00DB7A25">
      <w:pPr>
        <w:ind w:firstLine="720"/>
        <w:jc w:val="center"/>
        <w:rPr>
          <w:b/>
          <w:sz w:val="24"/>
          <w:szCs w:val="24"/>
        </w:rPr>
      </w:pPr>
      <w:r w:rsidRPr="009752D7">
        <w:rPr>
          <w:b/>
          <w:sz w:val="24"/>
          <w:szCs w:val="24"/>
        </w:rPr>
        <w:t>5</w:t>
      </w:r>
      <w:r w:rsidR="00543F33" w:rsidRPr="009752D7">
        <w:rPr>
          <w:b/>
          <w:sz w:val="24"/>
          <w:szCs w:val="24"/>
        </w:rPr>
        <w:t xml:space="preserve"> lentelė. 2021</w:t>
      </w:r>
      <w:r w:rsidR="00DB7A25" w:rsidRPr="009752D7">
        <w:rPr>
          <w:b/>
          <w:sz w:val="24"/>
          <w:szCs w:val="24"/>
        </w:rPr>
        <w:t xml:space="preserve"> metų biudžeto išlaidos pagal funkcinę klasifikaciją</w:t>
      </w:r>
    </w:p>
    <w:p w:rsidR="00043C5E" w:rsidRPr="009752D7" w:rsidRDefault="00043C5E" w:rsidP="00DB7A25">
      <w:pPr>
        <w:ind w:firstLine="720"/>
        <w:jc w:val="center"/>
        <w:rPr>
          <w:b/>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3827"/>
        <w:gridCol w:w="1701"/>
        <w:gridCol w:w="1276"/>
        <w:gridCol w:w="1678"/>
        <w:gridCol w:w="23"/>
      </w:tblGrid>
      <w:tr w:rsidR="00DB7A25" w:rsidRPr="009752D7" w:rsidTr="006411DB">
        <w:trPr>
          <w:gridAfter w:val="1"/>
          <w:wAfter w:w="23" w:type="dxa"/>
          <w:trHeight w:val="1003"/>
        </w:trPr>
        <w:tc>
          <w:tcPr>
            <w:tcW w:w="1526" w:type="dxa"/>
            <w:vMerge w:val="restart"/>
            <w:shd w:val="clear" w:color="auto" w:fill="auto"/>
            <w:vAlign w:val="center"/>
          </w:tcPr>
          <w:p w:rsidR="00DB7A25" w:rsidRPr="009752D7" w:rsidRDefault="00DB7A25" w:rsidP="006411DB">
            <w:pPr>
              <w:jc w:val="center"/>
              <w:rPr>
                <w:sz w:val="22"/>
                <w:szCs w:val="22"/>
              </w:rPr>
            </w:pPr>
            <w:r w:rsidRPr="009752D7">
              <w:rPr>
                <w:sz w:val="22"/>
                <w:szCs w:val="22"/>
              </w:rPr>
              <w:t>Funkcinės klasifikacijos kodas</w:t>
            </w:r>
          </w:p>
        </w:tc>
        <w:tc>
          <w:tcPr>
            <w:tcW w:w="3827" w:type="dxa"/>
            <w:vMerge w:val="restart"/>
            <w:shd w:val="clear" w:color="auto" w:fill="auto"/>
            <w:vAlign w:val="center"/>
          </w:tcPr>
          <w:p w:rsidR="00DB7A25" w:rsidRPr="009752D7" w:rsidRDefault="00DB7A25" w:rsidP="006411DB">
            <w:pPr>
              <w:jc w:val="center"/>
              <w:rPr>
                <w:sz w:val="22"/>
                <w:szCs w:val="22"/>
              </w:rPr>
            </w:pPr>
            <w:r w:rsidRPr="009752D7">
              <w:rPr>
                <w:sz w:val="22"/>
                <w:szCs w:val="22"/>
              </w:rPr>
              <w:t>Išlaidos pagal funkcinę klasifikaciją</w:t>
            </w:r>
          </w:p>
        </w:tc>
        <w:tc>
          <w:tcPr>
            <w:tcW w:w="1701" w:type="dxa"/>
            <w:shd w:val="clear" w:color="auto" w:fill="auto"/>
            <w:vAlign w:val="center"/>
          </w:tcPr>
          <w:p w:rsidR="00DB7A25" w:rsidRPr="009752D7" w:rsidRDefault="00DB7A25" w:rsidP="006411DB">
            <w:pPr>
              <w:jc w:val="center"/>
              <w:rPr>
                <w:sz w:val="22"/>
                <w:szCs w:val="22"/>
              </w:rPr>
            </w:pPr>
            <w:r w:rsidRPr="009752D7">
              <w:rPr>
                <w:sz w:val="22"/>
                <w:szCs w:val="22"/>
              </w:rPr>
              <w:t>Patikslintas ataskaitinio laikotarpio planas</w:t>
            </w:r>
          </w:p>
        </w:tc>
        <w:tc>
          <w:tcPr>
            <w:tcW w:w="1276" w:type="dxa"/>
            <w:shd w:val="clear" w:color="auto" w:fill="auto"/>
            <w:vAlign w:val="center"/>
          </w:tcPr>
          <w:p w:rsidR="00DB7A25" w:rsidRPr="009752D7" w:rsidRDefault="00DB7A25" w:rsidP="006411DB">
            <w:pPr>
              <w:jc w:val="center"/>
              <w:rPr>
                <w:sz w:val="22"/>
                <w:szCs w:val="22"/>
              </w:rPr>
            </w:pPr>
            <w:r w:rsidRPr="009752D7">
              <w:rPr>
                <w:sz w:val="22"/>
                <w:szCs w:val="22"/>
              </w:rPr>
              <w:t>Įvykdyta</w:t>
            </w:r>
          </w:p>
        </w:tc>
        <w:tc>
          <w:tcPr>
            <w:tcW w:w="1678" w:type="dxa"/>
            <w:shd w:val="clear" w:color="auto" w:fill="auto"/>
            <w:vAlign w:val="center"/>
          </w:tcPr>
          <w:p w:rsidR="00DB7A25" w:rsidRPr="009752D7" w:rsidRDefault="00DB7A25" w:rsidP="006411DB">
            <w:pPr>
              <w:jc w:val="center"/>
              <w:rPr>
                <w:sz w:val="22"/>
                <w:szCs w:val="22"/>
              </w:rPr>
            </w:pPr>
            <w:r w:rsidRPr="009752D7">
              <w:rPr>
                <w:sz w:val="22"/>
                <w:szCs w:val="22"/>
              </w:rPr>
              <w:t>Procentinė viso biudžeto dalis</w:t>
            </w:r>
          </w:p>
        </w:tc>
      </w:tr>
      <w:tr w:rsidR="00DB7A25" w:rsidRPr="009752D7" w:rsidTr="006411DB">
        <w:trPr>
          <w:gridAfter w:val="1"/>
          <w:wAfter w:w="23" w:type="dxa"/>
          <w:trHeight w:val="194"/>
        </w:trPr>
        <w:tc>
          <w:tcPr>
            <w:tcW w:w="1526" w:type="dxa"/>
            <w:vMerge/>
            <w:shd w:val="clear" w:color="auto" w:fill="auto"/>
            <w:vAlign w:val="center"/>
          </w:tcPr>
          <w:p w:rsidR="00DB7A25" w:rsidRPr="009752D7" w:rsidRDefault="00DB7A25" w:rsidP="006411DB">
            <w:pPr>
              <w:jc w:val="center"/>
              <w:rPr>
                <w:sz w:val="24"/>
                <w:szCs w:val="24"/>
              </w:rPr>
            </w:pPr>
          </w:p>
        </w:tc>
        <w:tc>
          <w:tcPr>
            <w:tcW w:w="3827" w:type="dxa"/>
            <w:vMerge/>
            <w:shd w:val="clear" w:color="auto" w:fill="auto"/>
            <w:vAlign w:val="center"/>
          </w:tcPr>
          <w:p w:rsidR="00DB7A25" w:rsidRPr="009752D7" w:rsidRDefault="00DB7A25" w:rsidP="006411DB">
            <w:pPr>
              <w:jc w:val="center"/>
              <w:rPr>
                <w:sz w:val="24"/>
                <w:szCs w:val="24"/>
              </w:rPr>
            </w:pPr>
          </w:p>
        </w:tc>
        <w:tc>
          <w:tcPr>
            <w:tcW w:w="2977" w:type="dxa"/>
            <w:gridSpan w:val="2"/>
            <w:shd w:val="clear" w:color="auto" w:fill="auto"/>
            <w:vAlign w:val="center"/>
          </w:tcPr>
          <w:p w:rsidR="00DB7A25" w:rsidRPr="009752D7" w:rsidRDefault="00DB7A25" w:rsidP="006411DB">
            <w:pPr>
              <w:jc w:val="center"/>
              <w:rPr>
                <w:sz w:val="22"/>
                <w:szCs w:val="22"/>
              </w:rPr>
            </w:pPr>
            <w:r w:rsidRPr="009752D7">
              <w:rPr>
                <w:sz w:val="22"/>
                <w:szCs w:val="22"/>
              </w:rPr>
              <w:t>tūkst. eurų</w:t>
            </w:r>
          </w:p>
        </w:tc>
        <w:tc>
          <w:tcPr>
            <w:tcW w:w="1678" w:type="dxa"/>
            <w:shd w:val="clear" w:color="auto" w:fill="auto"/>
            <w:vAlign w:val="center"/>
          </w:tcPr>
          <w:p w:rsidR="00DB7A25" w:rsidRPr="009752D7" w:rsidRDefault="00DB7A25" w:rsidP="006411DB">
            <w:pPr>
              <w:jc w:val="center"/>
              <w:rPr>
                <w:sz w:val="22"/>
                <w:szCs w:val="22"/>
              </w:rPr>
            </w:pPr>
            <w:r w:rsidRPr="009752D7">
              <w:rPr>
                <w:sz w:val="22"/>
                <w:szCs w:val="22"/>
              </w:rPr>
              <w:t>proc.</w:t>
            </w:r>
          </w:p>
        </w:tc>
      </w:tr>
      <w:tr w:rsidR="00DB7A25" w:rsidRPr="009752D7" w:rsidTr="006411DB">
        <w:trPr>
          <w:gridAfter w:val="1"/>
          <w:wAfter w:w="23" w:type="dxa"/>
          <w:trHeight w:val="188"/>
        </w:trPr>
        <w:tc>
          <w:tcPr>
            <w:tcW w:w="1526" w:type="dxa"/>
            <w:shd w:val="clear" w:color="auto" w:fill="auto"/>
          </w:tcPr>
          <w:p w:rsidR="00DB7A25" w:rsidRPr="009752D7" w:rsidRDefault="00DB7A25" w:rsidP="006411DB">
            <w:pPr>
              <w:jc w:val="center"/>
              <w:rPr>
                <w:sz w:val="22"/>
                <w:szCs w:val="22"/>
              </w:rPr>
            </w:pPr>
            <w:r w:rsidRPr="009752D7">
              <w:rPr>
                <w:sz w:val="22"/>
                <w:szCs w:val="22"/>
              </w:rPr>
              <w:t>1.</w:t>
            </w:r>
          </w:p>
        </w:tc>
        <w:tc>
          <w:tcPr>
            <w:tcW w:w="3827" w:type="dxa"/>
            <w:shd w:val="clear" w:color="auto" w:fill="auto"/>
          </w:tcPr>
          <w:p w:rsidR="00DB7A25" w:rsidRPr="009752D7" w:rsidRDefault="00DB7A25" w:rsidP="006411DB">
            <w:pPr>
              <w:rPr>
                <w:sz w:val="22"/>
                <w:szCs w:val="22"/>
              </w:rPr>
            </w:pPr>
            <w:r w:rsidRPr="009752D7">
              <w:rPr>
                <w:sz w:val="22"/>
                <w:szCs w:val="22"/>
              </w:rPr>
              <w:t>Bendros valstybės paslaugos</w:t>
            </w:r>
          </w:p>
        </w:tc>
        <w:tc>
          <w:tcPr>
            <w:tcW w:w="1701" w:type="dxa"/>
            <w:shd w:val="clear" w:color="auto" w:fill="auto"/>
          </w:tcPr>
          <w:p w:rsidR="00DB7A25" w:rsidRPr="009752D7" w:rsidRDefault="00774A36" w:rsidP="006411DB">
            <w:pPr>
              <w:jc w:val="center"/>
              <w:rPr>
                <w:sz w:val="22"/>
                <w:szCs w:val="22"/>
              </w:rPr>
            </w:pPr>
            <w:r w:rsidRPr="009752D7">
              <w:rPr>
                <w:sz w:val="22"/>
                <w:szCs w:val="22"/>
              </w:rPr>
              <w:t>4908.4</w:t>
            </w:r>
          </w:p>
        </w:tc>
        <w:tc>
          <w:tcPr>
            <w:tcW w:w="1276" w:type="dxa"/>
            <w:shd w:val="clear" w:color="auto" w:fill="auto"/>
          </w:tcPr>
          <w:p w:rsidR="00DB7A25" w:rsidRPr="009752D7" w:rsidRDefault="00774A36" w:rsidP="006411DB">
            <w:pPr>
              <w:jc w:val="center"/>
              <w:rPr>
                <w:sz w:val="22"/>
                <w:szCs w:val="22"/>
              </w:rPr>
            </w:pPr>
            <w:r w:rsidRPr="009752D7">
              <w:rPr>
                <w:sz w:val="22"/>
                <w:szCs w:val="22"/>
              </w:rPr>
              <w:t>4 816.1</w:t>
            </w:r>
          </w:p>
        </w:tc>
        <w:tc>
          <w:tcPr>
            <w:tcW w:w="1678" w:type="dxa"/>
            <w:shd w:val="clear" w:color="auto" w:fill="auto"/>
          </w:tcPr>
          <w:p w:rsidR="00DB7A25" w:rsidRPr="009752D7" w:rsidRDefault="00774A36" w:rsidP="00C807E4">
            <w:pPr>
              <w:jc w:val="center"/>
              <w:rPr>
                <w:sz w:val="22"/>
                <w:szCs w:val="22"/>
              </w:rPr>
            </w:pPr>
            <w:r w:rsidRPr="009752D7">
              <w:rPr>
                <w:sz w:val="22"/>
                <w:szCs w:val="22"/>
              </w:rPr>
              <w:t>8.4</w:t>
            </w:r>
          </w:p>
        </w:tc>
      </w:tr>
      <w:tr w:rsidR="00DB7A25" w:rsidRPr="009752D7" w:rsidTr="006411DB">
        <w:trPr>
          <w:gridAfter w:val="1"/>
          <w:wAfter w:w="23" w:type="dxa"/>
          <w:trHeight w:val="176"/>
        </w:trPr>
        <w:tc>
          <w:tcPr>
            <w:tcW w:w="1526" w:type="dxa"/>
            <w:shd w:val="clear" w:color="auto" w:fill="auto"/>
          </w:tcPr>
          <w:p w:rsidR="00DB7A25" w:rsidRPr="009752D7" w:rsidRDefault="00DB7A25" w:rsidP="006411DB">
            <w:pPr>
              <w:jc w:val="center"/>
              <w:rPr>
                <w:sz w:val="22"/>
                <w:szCs w:val="22"/>
              </w:rPr>
            </w:pPr>
            <w:r w:rsidRPr="009752D7">
              <w:rPr>
                <w:sz w:val="22"/>
                <w:szCs w:val="22"/>
              </w:rPr>
              <w:t>2.</w:t>
            </w:r>
          </w:p>
        </w:tc>
        <w:tc>
          <w:tcPr>
            <w:tcW w:w="3827" w:type="dxa"/>
            <w:shd w:val="clear" w:color="auto" w:fill="auto"/>
          </w:tcPr>
          <w:p w:rsidR="00DB7A25" w:rsidRPr="009752D7" w:rsidRDefault="00DB7A25" w:rsidP="006411DB">
            <w:pPr>
              <w:rPr>
                <w:sz w:val="22"/>
                <w:szCs w:val="22"/>
              </w:rPr>
            </w:pPr>
            <w:r w:rsidRPr="009752D7">
              <w:rPr>
                <w:sz w:val="22"/>
                <w:szCs w:val="22"/>
              </w:rPr>
              <w:t>Gynyba</w:t>
            </w:r>
          </w:p>
        </w:tc>
        <w:tc>
          <w:tcPr>
            <w:tcW w:w="1701" w:type="dxa"/>
            <w:shd w:val="clear" w:color="auto" w:fill="auto"/>
          </w:tcPr>
          <w:p w:rsidR="00DB7A25" w:rsidRPr="009752D7" w:rsidRDefault="00774A36" w:rsidP="006411DB">
            <w:pPr>
              <w:jc w:val="center"/>
              <w:rPr>
                <w:sz w:val="22"/>
                <w:szCs w:val="22"/>
              </w:rPr>
            </w:pPr>
            <w:r w:rsidRPr="009752D7">
              <w:rPr>
                <w:sz w:val="22"/>
                <w:szCs w:val="22"/>
              </w:rPr>
              <w:t>33.1</w:t>
            </w:r>
          </w:p>
        </w:tc>
        <w:tc>
          <w:tcPr>
            <w:tcW w:w="1276" w:type="dxa"/>
            <w:shd w:val="clear" w:color="auto" w:fill="auto"/>
          </w:tcPr>
          <w:p w:rsidR="00DB7A25" w:rsidRPr="009752D7" w:rsidRDefault="00774A36" w:rsidP="006411DB">
            <w:pPr>
              <w:jc w:val="center"/>
              <w:rPr>
                <w:sz w:val="22"/>
                <w:szCs w:val="22"/>
              </w:rPr>
            </w:pPr>
            <w:r w:rsidRPr="009752D7">
              <w:rPr>
                <w:sz w:val="22"/>
                <w:szCs w:val="22"/>
              </w:rPr>
              <w:t>33.0</w:t>
            </w:r>
          </w:p>
        </w:tc>
        <w:tc>
          <w:tcPr>
            <w:tcW w:w="1678" w:type="dxa"/>
            <w:shd w:val="clear" w:color="auto" w:fill="auto"/>
          </w:tcPr>
          <w:p w:rsidR="00DB7A25" w:rsidRPr="009752D7" w:rsidRDefault="00774A36" w:rsidP="006411DB">
            <w:pPr>
              <w:jc w:val="center"/>
              <w:rPr>
                <w:sz w:val="22"/>
                <w:szCs w:val="22"/>
              </w:rPr>
            </w:pPr>
            <w:r w:rsidRPr="009752D7">
              <w:rPr>
                <w:sz w:val="22"/>
                <w:szCs w:val="22"/>
              </w:rPr>
              <w:t>0.1</w:t>
            </w:r>
          </w:p>
        </w:tc>
      </w:tr>
      <w:tr w:rsidR="00DB7A25" w:rsidRPr="009752D7" w:rsidTr="006411DB">
        <w:trPr>
          <w:gridAfter w:val="1"/>
          <w:wAfter w:w="23" w:type="dxa"/>
        </w:trPr>
        <w:tc>
          <w:tcPr>
            <w:tcW w:w="1526" w:type="dxa"/>
            <w:shd w:val="clear" w:color="auto" w:fill="auto"/>
          </w:tcPr>
          <w:p w:rsidR="00DB7A25" w:rsidRPr="009752D7" w:rsidRDefault="00DB7A25" w:rsidP="006411DB">
            <w:pPr>
              <w:jc w:val="center"/>
              <w:rPr>
                <w:sz w:val="22"/>
                <w:szCs w:val="22"/>
              </w:rPr>
            </w:pPr>
            <w:r w:rsidRPr="009752D7">
              <w:rPr>
                <w:sz w:val="22"/>
                <w:szCs w:val="22"/>
              </w:rPr>
              <w:t>3.</w:t>
            </w:r>
          </w:p>
        </w:tc>
        <w:tc>
          <w:tcPr>
            <w:tcW w:w="3827" w:type="dxa"/>
            <w:shd w:val="clear" w:color="auto" w:fill="auto"/>
          </w:tcPr>
          <w:p w:rsidR="00DB7A25" w:rsidRPr="009752D7" w:rsidRDefault="00DB7A25" w:rsidP="006411DB">
            <w:pPr>
              <w:rPr>
                <w:sz w:val="22"/>
                <w:szCs w:val="22"/>
              </w:rPr>
            </w:pPr>
            <w:r w:rsidRPr="009752D7">
              <w:rPr>
                <w:sz w:val="22"/>
                <w:szCs w:val="22"/>
              </w:rPr>
              <w:t>Viešoji tvarka ir visuomenės apsauga</w:t>
            </w:r>
          </w:p>
        </w:tc>
        <w:tc>
          <w:tcPr>
            <w:tcW w:w="1701" w:type="dxa"/>
            <w:shd w:val="clear" w:color="auto" w:fill="auto"/>
          </w:tcPr>
          <w:p w:rsidR="00DB7A25" w:rsidRPr="009752D7" w:rsidRDefault="00774A36" w:rsidP="006411DB">
            <w:pPr>
              <w:jc w:val="center"/>
              <w:rPr>
                <w:sz w:val="22"/>
                <w:szCs w:val="22"/>
              </w:rPr>
            </w:pPr>
            <w:r w:rsidRPr="009752D7">
              <w:rPr>
                <w:sz w:val="22"/>
                <w:szCs w:val="22"/>
              </w:rPr>
              <w:t>777.5</w:t>
            </w:r>
          </w:p>
        </w:tc>
        <w:tc>
          <w:tcPr>
            <w:tcW w:w="1276" w:type="dxa"/>
            <w:shd w:val="clear" w:color="auto" w:fill="auto"/>
          </w:tcPr>
          <w:p w:rsidR="00DB7A25" w:rsidRPr="009752D7" w:rsidRDefault="00774A36" w:rsidP="006411DB">
            <w:pPr>
              <w:jc w:val="center"/>
              <w:rPr>
                <w:sz w:val="22"/>
                <w:szCs w:val="22"/>
              </w:rPr>
            </w:pPr>
            <w:r w:rsidRPr="009752D7">
              <w:rPr>
                <w:sz w:val="22"/>
                <w:szCs w:val="22"/>
              </w:rPr>
              <w:t>777.2</w:t>
            </w:r>
          </w:p>
        </w:tc>
        <w:tc>
          <w:tcPr>
            <w:tcW w:w="1678" w:type="dxa"/>
            <w:shd w:val="clear" w:color="auto" w:fill="auto"/>
          </w:tcPr>
          <w:p w:rsidR="00DB7A25" w:rsidRPr="009752D7" w:rsidRDefault="00DB7A25" w:rsidP="006411DB">
            <w:pPr>
              <w:jc w:val="center"/>
              <w:rPr>
                <w:sz w:val="22"/>
                <w:szCs w:val="22"/>
              </w:rPr>
            </w:pPr>
            <w:r w:rsidRPr="009752D7">
              <w:rPr>
                <w:sz w:val="22"/>
                <w:szCs w:val="22"/>
              </w:rPr>
              <w:t>1,</w:t>
            </w:r>
            <w:r w:rsidR="00C807E4" w:rsidRPr="009752D7">
              <w:rPr>
                <w:sz w:val="22"/>
                <w:szCs w:val="22"/>
              </w:rPr>
              <w:t>3</w:t>
            </w:r>
          </w:p>
        </w:tc>
      </w:tr>
      <w:tr w:rsidR="00DB7A25" w:rsidRPr="009752D7" w:rsidTr="006411DB">
        <w:trPr>
          <w:gridAfter w:val="1"/>
          <w:wAfter w:w="23" w:type="dxa"/>
        </w:trPr>
        <w:tc>
          <w:tcPr>
            <w:tcW w:w="1526" w:type="dxa"/>
            <w:shd w:val="clear" w:color="auto" w:fill="auto"/>
          </w:tcPr>
          <w:p w:rsidR="00DB7A25" w:rsidRPr="009752D7" w:rsidRDefault="00DB7A25" w:rsidP="006411DB">
            <w:pPr>
              <w:jc w:val="center"/>
              <w:rPr>
                <w:sz w:val="22"/>
                <w:szCs w:val="22"/>
              </w:rPr>
            </w:pPr>
            <w:r w:rsidRPr="009752D7">
              <w:rPr>
                <w:sz w:val="22"/>
                <w:szCs w:val="22"/>
              </w:rPr>
              <w:t>4.</w:t>
            </w:r>
          </w:p>
        </w:tc>
        <w:tc>
          <w:tcPr>
            <w:tcW w:w="3827" w:type="dxa"/>
            <w:shd w:val="clear" w:color="auto" w:fill="auto"/>
          </w:tcPr>
          <w:p w:rsidR="00DB7A25" w:rsidRPr="009752D7" w:rsidRDefault="00DB7A25" w:rsidP="006411DB">
            <w:pPr>
              <w:rPr>
                <w:sz w:val="22"/>
                <w:szCs w:val="22"/>
              </w:rPr>
            </w:pPr>
            <w:r w:rsidRPr="009752D7">
              <w:rPr>
                <w:sz w:val="22"/>
                <w:szCs w:val="22"/>
              </w:rPr>
              <w:t>Ekonomika</w:t>
            </w:r>
          </w:p>
        </w:tc>
        <w:tc>
          <w:tcPr>
            <w:tcW w:w="1701" w:type="dxa"/>
            <w:shd w:val="clear" w:color="auto" w:fill="auto"/>
          </w:tcPr>
          <w:p w:rsidR="00DB7A25" w:rsidRPr="009752D7" w:rsidRDefault="00774A36" w:rsidP="002700B6">
            <w:pPr>
              <w:jc w:val="center"/>
              <w:rPr>
                <w:sz w:val="22"/>
                <w:szCs w:val="22"/>
              </w:rPr>
            </w:pPr>
            <w:r w:rsidRPr="009752D7">
              <w:rPr>
                <w:sz w:val="22"/>
                <w:szCs w:val="22"/>
              </w:rPr>
              <w:t>6 797.4</w:t>
            </w:r>
          </w:p>
        </w:tc>
        <w:tc>
          <w:tcPr>
            <w:tcW w:w="1276" w:type="dxa"/>
            <w:shd w:val="clear" w:color="auto" w:fill="auto"/>
          </w:tcPr>
          <w:p w:rsidR="00DB7A25" w:rsidRPr="009752D7" w:rsidRDefault="00774A36" w:rsidP="002700B6">
            <w:pPr>
              <w:jc w:val="center"/>
              <w:rPr>
                <w:sz w:val="22"/>
                <w:szCs w:val="22"/>
              </w:rPr>
            </w:pPr>
            <w:r w:rsidRPr="009752D7">
              <w:rPr>
                <w:sz w:val="22"/>
                <w:szCs w:val="22"/>
              </w:rPr>
              <w:t>6 084.4</w:t>
            </w:r>
          </w:p>
        </w:tc>
        <w:tc>
          <w:tcPr>
            <w:tcW w:w="1678" w:type="dxa"/>
            <w:shd w:val="clear" w:color="auto" w:fill="auto"/>
          </w:tcPr>
          <w:p w:rsidR="00DB7A25" w:rsidRPr="009752D7" w:rsidRDefault="00774A36" w:rsidP="006411DB">
            <w:pPr>
              <w:jc w:val="center"/>
              <w:rPr>
                <w:sz w:val="22"/>
                <w:szCs w:val="22"/>
              </w:rPr>
            </w:pPr>
            <w:r w:rsidRPr="009752D7">
              <w:rPr>
                <w:sz w:val="22"/>
                <w:szCs w:val="22"/>
              </w:rPr>
              <w:t>10.6</w:t>
            </w:r>
          </w:p>
        </w:tc>
      </w:tr>
      <w:tr w:rsidR="00DB7A25" w:rsidRPr="009752D7" w:rsidTr="006411DB">
        <w:trPr>
          <w:gridAfter w:val="1"/>
          <w:wAfter w:w="23" w:type="dxa"/>
        </w:trPr>
        <w:tc>
          <w:tcPr>
            <w:tcW w:w="1526" w:type="dxa"/>
            <w:shd w:val="clear" w:color="auto" w:fill="auto"/>
          </w:tcPr>
          <w:p w:rsidR="00DB7A25" w:rsidRPr="009752D7" w:rsidRDefault="00DB7A25" w:rsidP="006411DB">
            <w:pPr>
              <w:jc w:val="center"/>
              <w:rPr>
                <w:sz w:val="22"/>
                <w:szCs w:val="22"/>
              </w:rPr>
            </w:pPr>
            <w:r w:rsidRPr="009752D7">
              <w:rPr>
                <w:sz w:val="22"/>
                <w:szCs w:val="22"/>
              </w:rPr>
              <w:t>5.</w:t>
            </w:r>
          </w:p>
        </w:tc>
        <w:tc>
          <w:tcPr>
            <w:tcW w:w="3827" w:type="dxa"/>
            <w:shd w:val="clear" w:color="auto" w:fill="auto"/>
          </w:tcPr>
          <w:p w:rsidR="00DB7A25" w:rsidRPr="009752D7" w:rsidRDefault="00DB7A25" w:rsidP="006411DB">
            <w:pPr>
              <w:rPr>
                <w:sz w:val="22"/>
                <w:szCs w:val="22"/>
              </w:rPr>
            </w:pPr>
            <w:r w:rsidRPr="009752D7">
              <w:rPr>
                <w:sz w:val="22"/>
                <w:szCs w:val="22"/>
              </w:rPr>
              <w:t>Aplinkos apsauga</w:t>
            </w:r>
          </w:p>
        </w:tc>
        <w:tc>
          <w:tcPr>
            <w:tcW w:w="1701" w:type="dxa"/>
            <w:shd w:val="clear" w:color="auto" w:fill="auto"/>
          </w:tcPr>
          <w:p w:rsidR="00DB7A25" w:rsidRPr="009752D7" w:rsidRDefault="00774A36" w:rsidP="006C1CCE">
            <w:pPr>
              <w:jc w:val="center"/>
              <w:rPr>
                <w:sz w:val="22"/>
                <w:szCs w:val="22"/>
              </w:rPr>
            </w:pPr>
            <w:r w:rsidRPr="009752D7">
              <w:rPr>
                <w:sz w:val="22"/>
                <w:szCs w:val="22"/>
              </w:rPr>
              <w:t>2 614.5</w:t>
            </w:r>
          </w:p>
        </w:tc>
        <w:tc>
          <w:tcPr>
            <w:tcW w:w="1276" w:type="dxa"/>
            <w:shd w:val="clear" w:color="auto" w:fill="auto"/>
          </w:tcPr>
          <w:p w:rsidR="00DB7A25" w:rsidRPr="009752D7" w:rsidRDefault="00774A36" w:rsidP="002700B6">
            <w:pPr>
              <w:jc w:val="center"/>
              <w:rPr>
                <w:sz w:val="22"/>
                <w:szCs w:val="22"/>
              </w:rPr>
            </w:pPr>
            <w:r w:rsidRPr="009752D7">
              <w:rPr>
                <w:sz w:val="22"/>
                <w:szCs w:val="22"/>
              </w:rPr>
              <w:t>1 673.4</w:t>
            </w:r>
          </w:p>
        </w:tc>
        <w:tc>
          <w:tcPr>
            <w:tcW w:w="1678" w:type="dxa"/>
            <w:shd w:val="clear" w:color="auto" w:fill="auto"/>
          </w:tcPr>
          <w:p w:rsidR="00DB7A25" w:rsidRPr="009752D7" w:rsidRDefault="00774A36" w:rsidP="006411DB">
            <w:pPr>
              <w:jc w:val="center"/>
              <w:rPr>
                <w:sz w:val="22"/>
                <w:szCs w:val="22"/>
              </w:rPr>
            </w:pPr>
            <w:r w:rsidRPr="009752D7">
              <w:rPr>
                <w:sz w:val="22"/>
                <w:szCs w:val="22"/>
              </w:rPr>
              <w:t>2.9</w:t>
            </w:r>
          </w:p>
        </w:tc>
      </w:tr>
      <w:tr w:rsidR="00DB7A25" w:rsidRPr="009752D7" w:rsidTr="006411DB">
        <w:trPr>
          <w:gridAfter w:val="1"/>
          <w:wAfter w:w="23" w:type="dxa"/>
        </w:trPr>
        <w:tc>
          <w:tcPr>
            <w:tcW w:w="1526" w:type="dxa"/>
            <w:shd w:val="clear" w:color="auto" w:fill="auto"/>
          </w:tcPr>
          <w:p w:rsidR="00DB7A25" w:rsidRPr="009752D7" w:rsidRDefault="00DB7A25" w:rsidP="006411DB">
            <w:pPr>
              <w:jc w:val="center"/>
              <w:rPr>
                <w:sz w:val="22"/>
                <w:szCs w:val="22"/>
              </w:rPr>
            </w:pPr>
            <w:r w:rsidRPr="009752D7">
              <w:rPr>
                <w:sz w:val="22"/>
                <w:szCs w:val="22"/>
              </w:rPr>
              <w:t>6.</w:t>
            </w:r>
          </w:p>
        </w:tc>
        <w:tc>
          <w:tcPr>
            <w:tcW w:w="3827" w:type="dxa"/>
            <w:shd w:val="clear" w:color="auto" w:fill="auto"/>
          </w:tcPr>
          <w:p w:rsidR="00DB7A25" w:rsidRPr="009752D7" w:rsidRDefault="00DB7A25" w:rsidP="006411DB">
            <w:pPr>
              <w:rPr>
                <w:sz w:val="22"/>
                <w:szCs w:val="22"/>
              </w:rPr>
            </w:pPr>
            <w:r w:rsidRPr="009752D7">
              <w:rPr>
                <w:sz w:val="22"/>
                <w:szCs w:val="22"/>
              </w:rPr>
              <w:t>Būstas ir komunalinis ūkis</w:t>
            </w:r>
          </w:p>
        </w:tc>
        <w:tc>
          <w:tcPr>
            <w:tcW w:w="1701" w:type="dxa"/>
            <w:shd w:val="clear" w:color="auto" w:fill="auto"/>
          </w:tcPr>
          <w:p w:rsidR="00DB7A25" w:rsidRPr="009752D7" w:rsidRDefault="00774A36" w:rsidP="002700B6">
            <w:pPr>
              <w:jc w:val="center"/>
              <w:rPr>
                <w:sz w:val="22"/>
                <w:szCs w:val="22"/>
              </w:rPr>
            </w:pPr>
            <w:r w:rsidRPr="009752D7">
              <w:rPr>
                <w:sz w:val="22"/>
                <w:szCs w:val="22"/>
              </w:rPr>
              <w:t>2 470.0</w:t>
            </w:r>
          </w:p>
        </w:tc>
        <w:tc>
          <w:tcPr>
            <w:tcW w:w="1276" w:type="dxa"/>
            <w:shd w:val="clear" w:color="auto" w:fill="auto"/>
          </w:tcPr>
          <w:p w:rsidR="00DB7A25" w:rsidRPr="009752D7" w:rsidRDefault="00774A36" w:rsidP="002700B6">
            <w:pPr>
              <w:jc w:val="center"/>
              <w:rPr>
                <w:sz w:val="22"/>
                <w:szCs w:val="22"/>
              </w:rPr>
            </w:pPr>
            <w:r w:rsidRPr="009752D7">
              <w:rPr>
                <w:sz w:val="22"/>
                <w:szCs w:val="22"/>
              </w:rPr>
              <w:t>2 301.8</w:t>
            </w:r>
          </w:p>
        </w:tc>
        <w:tc>
          <w:tcPr>
            <w:tcW w:w="1678" w:type="dxa"/>
            <w:shd w:val="clear" w:color="auto" w:fill="auto"/>
          </w:tcPr>
          <w:p w:rsidR="00DB7A25" w:rsidRPr="009752D7" w:rsidRDefault="00774A36" w:rsidP="006411DB">
            <w:pPr>
              <w:jc w:val="center"/>
              <w:rPr>
                <w:sz w:val="22"/>
                <w:szCs w:val="22"/>
              </w:rPr>
            </w:pPr>
            <w:r w:rsidRPr="009752D7">
              <w:rPr>
                <w:sz w:val="22"/>
                <w:szCs w:val="22"/>
              </w:rPr>
              <w:t>4.0</w:t>
            </w:r>
          </w:p>
        </w:tc>
      </w:tr>
      <w:tr w:rsidR="00DB7A25" w:rsidRPr="009752D7" w:rsidTr="006411DB">
        <w:trPr>
          <w:gridAfter w:val="1"/>
          <w:wAfter w:w="23" w:type="dxa"/>
        </w:trPr>
        <w:tc>
          <w:tcPr>
            <w:tcW w:w="1526" w:type="dxa"/>
            <w:shd w:val="clear" w:color="auto" w:fill="auto"/>
          </w:tcPr>
          <w:p w:rsidR="00DB7A25" w:rsidRPr="009752D7" w:rsidRDefault="00DB7A25" w:rsidP="006411DB">
            <w:pPr>
              <w:jc w:val="center"/>
              <w:rPr>
                <w:sz w:val="22"/>
                <w:szCs w:val="22"/>
              </w:rPr>
            </w:pPr>
            <w:r w:rsidRPr="009752D7">
              <w:rPr>
                <w:sz w:val="22"/>
                <w:szCs w:val="22"/>
              </w:rPr>
              <w:t>7.</w:t>
            </w:r>
          </w:p>
        </w:tc>
        <w:tc>
          <w:tcPr>
            <w:tcW w:w="3827" w:type="dxa"/>
            <w:shd w:val="clear" w:color="auto" w:fill="auto"/>
          </w:tcPr>
          <w:p w:rsidR="00DB7A25" w:rsidRPr="009752D7" w:rsidRDefault="00DB7A25" w:rsidP="006C1CCE">
            <w:pPr>
              <w:rPr>
                <w:sz w:val="22"/>
                <w:szCs w:val="22"/>
              </w:rPr>
            </w:pPr>
            <w:r w:rsidRPr="009752D7">
              <w:rPr>
                <w:sz w:val="22"/>
                <w:szCs w:val="22"/>
              </w:rPr>
              <w:t xml:space="preserve">Sveikatos </w:t>
            </w:r>
            <w:r w:rsidR="006C1CCE" w:rsidRPr="009752D7">
              <w:rPr>
                <w:sz w:val="22"/>
                <w:szCs w:val="22"/>
              </w:rPr>
              <w:t>apsauga</w:t>
            </w:r>
          </w:p>
        </w:tc>
        <w:tc>
          <w:tcPr>
            <w:tcW w:w="1701" w:type="dxa"/>
            <w:shd w:val="clear" w:color="auto" w:fill="auto"/>
          </w:tcPr>
          <w:p w:rsidR="00DB7A25" w:rsidRPr="009752D7" w:rsidRDefault="00774A36" w:rsidP="006411DB">
            <w:pPr>
              <w:jc w:val="center"/>
              <w:rPr>
                <w:sz w:val="22"/>
                <w:szCs w:val="22"/>
              </w:rPr>
            </w:pPr>
            <w:r w:rsidRPr="009752D7">
              <w:rPr>
                <w:sz w:val="22"/>
                <w:szCs w:val="22"/>
              </w:rPr>
              <w:t>1 207.4</w:t>
            </w:r>
          </w:p>
        </w:tc>
        <w:tc>
          <w:tcPr>
            <w:tcW w:w="1276" w:type="dxa"/>
            <w:shd w:val="clear" w:color="auto" w:fill="auto"/>
          </w:tcPr>
          <w:p w:rsidR="00DB7A25" w:rsidRPr="009752D7" w:rsidRDefault="00774A36" w:rsidP="006411DB">
            <w:pPr>
              <w:jc w:val="center"/>
              <w:rPr>
                <w:sz w:val="22"/>
                <w:szCs w:val="22"/>
              </w:rPr>
            </w:pPr>
            <w:r w:rsidRPr="009752D7">
              <w:rPr>
                <w:sz w:val="22"/>
                <w:szCs w:val="22"/>
              </w:rPr>
              <w:t>1 192.5</w:t>
            </w:r>
          </w:p>
        </w:tc>
        <w:tc>
          <w:tcPr>
            <w:tcW w:w="1678" w:type="dxa"/>
            <w:shd w:val="clear" w:color="auto" w:fill="auto"/>
          </w:tcPr>
          <w:p w:rsidR="00DB7A25" w:rsidRPr="009752D7" w:rsidRDefault="00774A36" w:rsidP="006411DB">
            <w:pPr>
              <w:jc w:val="center"/>
              <w:rPr>
                <w:sz w:val="22"/>
                <w:szCs w:val="22"/>
              </w:rPr>
            </w:pPr>
            <w:r w:rsidRPr="009752D7">
              <w:rPr>
                <w:sz w:val="22"/>
                <w:szCs w:val="22"/>
              </w:rPr>
              <w:t>2.1</w:t>
            </w:r>
          </w:p>
        </w:tc>
      </w:tr>
      <w:tr w:rsidR="00DB7A25" w:rsidRPr="009752D7" w:rsidTr="006411DB">
        <w:trPr>
          <w:gridAfter w:val="1"/>
          <w:wAfter w:w="23" w:type="dxa"/>
        </w:trPr>
        <w:tc>
          <w:tcPr>
            <w:tcW w:w="1526" w:type="dxa"/>
            <w:shd w:val="clear" w:color="auto" w:fill="auto"/>
          </w:tcPr>
          <w:p w:rsidR="00DB7A25" w:rsidRPr="009752D7" w:rsidRDefault="00DB7A25" w:rsidP="006411DB">
            <w:pPr>
              <w:jc w:val="center"/>
              <w:rPr>
                <w:sz w:val="22"/>
                <w:szCs w:val="22"/>
              </w:rPr>
            </w:pPr>
            <w:r w:rsidRPr="009752D7">
              <w:rPr>
                <w:sz w:val="22"/>
                <w:szCs w:val="22"/>
              </w:rPr>
              <w:t>8.</w:t>
            </w:r>
          </w:p>
        </w:tc>
        <w:tc>
          <w:tcPr>
            <w:tcW w:w="3827" w:type="dxa"/>
            <w:shd w:val="clear" w:color="auto" w:fill="auto"/>
          </w:tcPr>
          <w:p w:rsidR="00DB7A25" w:rsidRPr="009752D7" w:rsidRDefault="00DB7A25" w:rsidP="006411DB">
            <w:pPr>
              <w:rPr>
                <w:sz w:val="22"/>
                <w:szCs w:val="22"/>
              </w:rPr>
            </w:pPr>
            <w:r w:rsidRPr="009752D7">
              <w:rPr>
                <w:sz w:val="22"/>
                <w:szCs w:val="22"/>
              </w:rPr>
              <w:t xml:space="preserve">Poilsis, kultūra ir religija </w:t>
            </w:r>
          </w:p>
        </w:tc>
        <w:tc>
          <w:tcPr>
            <w:tcW w:w="1701" w:type="dxa"/>
            <w:shd w:val="clear" w:color="auto" w:fill="auto"/>
          </w:tcPr>
          <w:p w:rsidR="00DB7A25" w:rsidRPr="009752D7" w:rsidRDefault="00774A36" w:rsidP="002700B6">
            <w:pPr>
              <w:jc w:val="center"/>
              <w:rPr>
                <w:sz w:val="22"/>
                <w:szCs w:val="22"/>
              </w:rPr>
            </w:pPr>
            <w:r w:rsidRPr="009752D7">
              <w:rPr>
                <w:sz w:val="22"/>
                <w:szCs w:val="22"/>
              </w:rPr>
              <w:t>9 505.3</w:t>
            </w:r>
          </w:p>
        </w:tc>
        <w:tc>
          <w:tcPr>
            <w:tcW w:w="1276" w:type="dxa"/>
            <w:shd w:val="clear" w:color="auto" w:fill="auto"/>
          </w:tcPr>
          <w:p w:rsidR="00DB7A25" w:rsidRPr="009752D7" w:rsidRDefault="00774A36" w:rsidP="002700B6">
            <w:pPr>
              <w:jc w:val="center"/>
              <w:rPr>
                <w:sz w:val="22"/>
                <w:szCs w:val="22"/>
              </w:rPr>
            </w:pPr>
            <w:r w:rsidRPr="009752D7">
              <w:rPr>
                <w:sz w:val="22"/>
                <w:szCs w:val="22"/>
              </w:rPr>
              <w:t>9 280.0</w:t>
            </w:r>
          </w:p>
        </w:tc>
        <w:tc>
          <w:tcPr>
            <w:tcW w:w="1678" w:type="dxa"/>
            <w:shd w:val="clear" w:color="auto" w:fill="auto"/>
          </w:tcPr>
          <w:p w:rsidR="00DB7A25" w:rsidRPr="009752D7" w:rsidRDefault="00774A36" w:rsidP="006411DB">
            <w:pPr>
              <w:jc w:val="center"/>
              <w:rPr>
                <w:sz w:val="22"/>
                <w:szCs w:val="22"/>
              </w:rPr>
            </w:pPr>
            <w:r w:rsidRPr="009752D7">
              <w:rPr>
                <w:sz w:val="22"/>
                <w:szCs w:val="22"/>
              </w:rPr>
              <w:t>16.1</w:t>
            </w:r>
          </w:p>
        </w:tc>
      </w:tr>
      <w:tr w:rsidR="00DB7A25" w:rsidRPr="009752D7" w:rsidTr="006411DB">
        <w:trPr>
          <w:gridAfter w:val="1"/>
          <w:wAfter w:w="23" w:type="dxa"/>
        </w:trPr>
        <w:tc>
          <w:tcPr>
            <w:tcW w:w="1526" w:type="dxa"/>
            <w:shd w:val="clear" w:color="auto" w:fill="auto"/>
          </w:tcPr>
          <w:p w:rsidR="00DB7A25" w:rsidRPr="009752D7" w:rsidRDefault="00DB7A25" w:rsidP="006411DB">
            <w:pPr>
              <w:jc w:val="center"/>
              <w:rPr>
                <w:sz w:val="22"/>
                <w:szCs w:val="22"/>
              </w:rPr>
            </w:pPr>
            <w:r w:rsidRPr="009752D7">
              <w:rPr>
                <w:sz w:val="22"/>
                <w:szCs w:val="22"/>
              </w:rPr>
              <w:t>9.</w:t>
            </w:r>
          </w:p>
        </w:tc>
        <w:tc>
          <w:tcPr>
            <w:tcW w:w="3827" w:type="dxa"/>
            <w:shd w:val="clear" w:color="auto" w:fill="auto"/>
          </w:tcPr>
          <w:p w:rsidR="00DB7A25" w:rsidRPr="009752D7" w:rsidRDefault="00DB7A25" w:rsidP="006411DB">
            <w:pPr>
              <w:rPr>
                <w:sz w:val="22"/>
                <w:szCs w:val="22"/>
              </w:rPr>
            </w:pPr>
            <w:r w:rsidRPr="009752D7">
              <w:rPr>
                <w:sz w:val="22"/>
                <w:szCs w:val="22"/>
              </w:rPr>
              <w:t>Švietimas</w:t>
            </w:r>
          </w:p>
        </w:tc>
        <w:tc>
          <w:tcPr>
            <w:tcW w:w="1701" w:type="dxa"/>
            <w:shd w:val="clear" w:color="auto" w:fill="auto"/>
          </w:tcPr>
          <w:p w:rsidR="00DB7A25" w:rsidRPr="009752D7" w:rsidRDefault="00774A36" w:rsidP="002700B6">
            <w:pPr>
              <w:jc w:val="center"/>
              <w:rPr>
                <w:sz w:val="22"/>
                <w:szCs w:val="22"/>
              </w:rPr>
            </w:pPr>
            <w:r w:rsidRPr="009752D7">
              <w:rPr>
                <w:sz w:val="22"/>
                <w:szCs w:val="22"/>
              </w:rPr>
              <w:t>20 027.5</w:t>
            </w:r>
          </w:p>
        </w:tc>
        <w:tc>
          <w:tcPr>
            <w:tcW w:w="1276" w:type="dxa"/>
            <w:shd w:val="clear" w:color="auto" w:fill="auto"/>
          </w:tcPr>
          <w:p w:rsidR="00DB7A25" w:rsidRPr="009752D7" w:rsidRDefault="00774A36" w:rsidP="002700B6">
            <w:pPr>
              <w:jc w:val="center"/>
              <w:rPr>
                <w:sz w:val="22"/>
                <w:szCs w:val="22"/>
              </w:rPr>
            </w:pPr>
            <w:r w:rsidRPr="009752D7">
              <w:rPr>
                <w:sz w:val="22"/>
                <w:szCs w:val="22"/>
              </w:rPr>
              <w:t>19 813.8</w:t>
            </w:r>
          </w:p>
        </w:tc>
        <w:tc>
          <w:tcPr>
            <w:tcW w:w="1678" w:type="dxa"/>
            <w:shd w:val="clear" w:color="auto" w:fill="auto"/>
          </w:tcPr>
          <w:p w:rsidR="00DB7A25" w:rsidRPr="009752D7" w:rsidRDefault="00774A36" w:rsidP="006411DB">
            <w:pPr>
              <w:jc w:val="center"/>
              <w:rPr>
                <w:sz w:val="22"/>
                <w:szCs w:val="22"/>
              </w:rPr>
            </w:pPr>
            <w:r w:rsidRPr="009752D7">
              <w:rPr>
                <w:sz w:val="22"/>
                <w:szCs w:val="22"/>
              </w:rPr>
              <w:t>34.4</w:t>
            </w:r>
          </w:p>
        </w:tc>
      </w:tr>
      <w:tr w:rsidR="00DB7A25" w:rsidRPr="009752D7" w:rsidTr="006411DB">
        <w:trPr>
          <w:gridAfter w:val="1"/>
          <w:wAfter w:w="23" w:type="dxa"/>
        </w:trPr>
        <w:tc>
          <w:tcPr>
            <w:tcW w:w="1526" w:type="dxa"/>
            <w:shd w:val="clear" w:color="auto" w:fill="auto"/>
          </w:tcPr>
          <w:p w:rsidR="00DB7A25" w:rsidRPr="009752D7" w:rsidRDefault="00DB7A25" w:rsidP="006411DB">
            <w:pPr>
              <w:jc w:val="center"/>
              <w:rPr>
                <w:sz w:val="22"/>
                <w:szCs w:val="22"/>
              </w:rPr>
            </w:pPr>
            <w:r w:rsidRPr="009752D7">
              <w:rPr>
                <w:sz w:val="22"/>
                <w:szCs w:val="22"/>
              </w:rPr>
              <w:t>10.</w:t>
            </w:r>
          </w:p>
        </w:tc>
        <w:tc>
          <w:tcPr>
            <w:tcW w:w="3827" w:type="dxa"/>
            <w:shd w:val="clear" w:color="auto" w:fill="auto"/>
          </w:tcPr>
          <w:p w:rsidR="00DB7A25" w:rsidRPr="009752D7" w:rsidRDefault="00DB7A25" w:rsidP="006411DB">
            <w:pPr>
              <w:rPr>
                <w:sz w:val="22"/>
                <w:szCs w:val="22"/>
              </w:rPr>
            </w:pPr>
            <w:r w:rsidRPr="009752D7">
              <w:rPr>
                <w:sz w:val="22"/>
                <w:szCs w:val="22"/>
              </w:rPr>
              <w:t>Socialinė apsauga</w:t>
            </w:r>
          </w:p>
        </w:tc>
        <w:tc>
          <w:tcPr>
            <w:tcW w:w="1701" w:type="dxa"/>
            <w:shd w:val="clear" w:color="auto" w:fill="auto"/>
          </w:tcPr>
          <w:p w:rsidR="00DB7A25" w:rsidRPr="009752D7" w:rsidRDefault="00774A36" w:rsidP="002700B6">
            <w:pPr>
              <w:jc w:val="center"/>
              <w:rPr>
                <w:sz w:val="22"/>
                <w:szCs w:val="22"/>
              </w:rPr>
            </w:pPr>
            <w:r w:rsidRPr="009752D7">
              <w:rPr>
                <w:sz w:val="22"/>
                <w:szCs w:val="22"/>
              </w:rPr>
              <w:t>6 787.3</w:t>
            </w:r>
          </w:p>
        </w:tc>
        <w:tc>
          <w:tcPr>
            <w:tcW w:w="1276" w:type="dxa"/>
            <w:shd w:val="clear" w:color="auto" w:fill="auto"/>
          </w:tcPr>
          <w:p w:rsidR="00DB7A25" w:rsidRPr="009752D7" w:rsidRDefault="00774A36" w:rsidP="002700B6">
            <w:pPr>
              <w:jc w:val="center"/>
              <w:rPr>
                <w:sz w:val="22"/>
                <w:szCs w:val="22"/>
              </w:rPr>
            </w:pPr>
            <w:r w:rsidRPr="009752D7">
              <w:rPr>
                <w:sz w:val="22"/>
                <w:szCs w:val="22"/>
              </w:rPr>
              <w:t>6 411.2</w:t>
            </w:r>
          </w:p>
        </w:tc>
        <w:tc>
          <w:tcPr>
            <w:tcW w:w="1678" w:type="dxa"/>
            <w:shd w:val="clear" w:color="auto" w:fill="auto"/>
          </w:tcPr>
          <w:p w:rsidR="00DB7A25" w:rsidRPr="009752D7" w:rsidRDefault="00774A36" w:rsidP="006411DB">
            <w:pPr>
              <w:jc w:val="center"/>
              <w:rPr>
                <w:sz w:val="22"/>
                <w:szCs w:val="22"/>
              </w:rPr>
            </w:pPr>
            <w:r w:rsidRPr="009752D7">
              <w:rPr>
                <w:sz w:val="22"/>
                <w:szCs w:val="22"/>
              </w:rPr>
              <w:t>11.1</w:t>
            </w:r>
          </w:p>
        </w:tc>
      </w:tr>
      <w:tr w:rsidR="00DB7A25" w:rsidRPr="009752D7" w:rsidTr="006411DB">
        <w:trPr>
          <w:gridAfter w:val="1"/>
          <w:wAfter w:w="23" w:type="dxa"/>
        </w:trPr>
        <w:tc>
          <w:tcPr>
            <w:tcW w:w="5353" w:type="dxa"/>
            <w:gridSpan w:val="2"/>
            <w:shd w:val="clear" w:color="auto" w:fill="auto"/>
          </w:tcPr>
          <w:p w:rsidR="00DB7A25" w:rsidRPr="009752D7" w:rsidRDefault="00DB7A25" w:rsidP="006411DB">
            <w:pPr>
              <w:jc w:val="center"/>
              <w:rPr>
                <w:b/>
                <w:sz w:val="22"/>
                <w:szCs w:val="22"/>
              </w:rPr>
            </w:pPr>
            <w:r w:rsidRPr="009752D7">
              <w:rPr>
                <w:b/>
                <w:sz w:val="22"/>
                <w:szCs w:val="22"/>
              </w:rPr>
              <w:t>Iš viso asignavimų</w:t>
            </w:r>
          </w:p>
        </w:tc>
        <w:tc>
          <w:tcPr>
            <w:tcW w:w="1701" w:type="dxa"/>
            <w:shd w:val="clear" w:color="auto" w:fill="auto"/>
          </w:tcPr>
          <w:p w:rsidR="002700B6" w:rsidRPr="009752D7" w:rsidRDefault="00774A36" w:rsidP="002700B6">
            <w:pPr>
              <w:jc w:val="center"/>
              <w:rPr>
                <w:b/>
                <w:sz w:val="22"/>
                <w:szCs w:val="22"/>
              </w:rPr>
            </w:pPr>
            <w:r w:rsidRPr="009752D7">
              <w:rPr>
                <w:b/>
                <w:sz w:val="22"/>
                <w:szCs w:val="22"/>
              </w:rPr>
              <w:t>55 129.4</w:t>
            </w:r>
          </w:p>
        </w:tc>
        <w:tc>
          <w:tcPr>
            <w:tcW w:w="1276" w:type="dxa"/>
            <w:shd w:val="clear" w:color="auto" w:fill="auto"/>
          </w:tcPr>
          <w:p w:rsidR="00DB7A25" w:rsidRPr="009752D7" w:rsidRDefault="00774A36" w:rsidP="002700B6">
            <w:pPr>
              <w:jc w:val="center"/>
              <w:rPr>
                <w:b/>
                <w:sz w:val="22"/>
                <w:szCs w:val="22"/>
              </w:rPr>
            </w:pPr>
            <w:r w:rsidRPr="009752D7">
              <w:rPr>
                <w:b/>
                <w:sz w:val="22"/>
                <w:szCs w:val="22"/>
              </w:rPr>
              <w:t>52 383.4</w:t>
            </w:r>
          </w:p>
        </w:tc>
        <w:tc>
          <w:tcPr>
            <w:tcW w:w="1678" w:type="dxa"/>
            <w:shd w:val="clear" w:color="auto" w:fill="auto"/>
          </w:tcPr>
          <w:p w:rsidR="00DB7A25" w:rsidRPr="009752D7" w:rsidRDefault="00DB7A25" w:rsidP="006411DB">
            <w:pPr>
              <w:jc w:val="center"/>
              <w:rPr>
                <w:b/>
                <w:sz w:val="22"/>
                <w:szCs w:val="22"/>
              </w:rPr>
            </w:pPr>
          </w:p>
        </w:tc>
      </w:tr>
      <w:tr w:rsidR="00DB7A25" w:rsidRPr="009752D7" w:rsidTr="006411DB">
        <w:tc>
          <w:tcPr>
            <w:tcW w:w="1526" w:type="dxa"/>
            <w:shd w:val="clear" w:color="auto" w:fill="auto"/>
          </w:tcPr>
          <w:p w:rsidR="00DB7A25" w:rsidRPr="009752D7" w:rsidRDefault="00DB7A25" w:rsidP="006411DB">
            <w:pPr>
              <w:jc w:val="center"/>
              <w:rPr>
                <w:sz w:val="22"/>
                <w:szCs w:val="22"/>
              </w:rPr>
            </w:pPr>
          </w:p>
        </w:tc>
        <w:tc>
          <w:tcPr>
            <w:tcW w:w="3827" w:type="dxa"/>
            <w:shd w:val="clear" w:color="auto" w:fill="auto"/>
          </w:tcPr>
          <w:p w:rsidR="00DB7A25" w:rsidRPr="009752D7" w:rsidRDefault="00DB7A25" w:rsidP="002700B6">
            <w:pPr>
              <w:jc w:val="both"/>
              <w:rPr>
                <w:sz w:val="22"/>
                <w:szCs w:val="22"/>
              </w:rPr>
            </w:pPr>
            <w:r w:rsidRPr="009752D7">
              <w:rPr>
                <w:sz w:val="22"/>
                <w:szCs w:val="22"/>
              </w:rPr>
              <w:t>Fi</w:t>
            </w:r>
            <w:r w:rsidR="002700B6" w:rsidRPr="009752D7">
              <w:rPr>
                <w:sz w:val="22"/>
                <w:szCs w:val="22"/>
              </w:rPr>
              <w:t>nansinių įsipareigojimų vykdymo išlaidos</w:t>
            </w:r>
            <w:r w:rsidRPr="009752D7">
              <w:rPr>
                <w:sz w:val="22"/>
                <w:szCs w:val="22"/>
              </w:rPr>
              <w:t xml:space="preserve"> (</w:t>
            </w:r>
            <w:r w:rsidR="002700B6" w:rsidRPr="009752D7">
              <w:rPr>
                <w:sz w:val="22"/>
                <w:szCs w:val="22"/>
              </w:rPr>
              <w:t>grąžintos paskolos</w:t>
            </w:r>
            <w:r w:rsidRPr="009752D7">
              <w:rPr>
                <w:sz w:val="22"/>
                <w:szCs w:val="22"/>
              </w:rPr>
              <w:t>)</w:t>
            </w:r>
          </w:p>
        </w:tc>
        <w:tc>
          <w:tcPr>
            <w:tcW w:w="1701" w:type="dxa"/>
            <w:shd w:val="clear" w:color="auto" w:fill="auto"/>
          </w:tcPr>
          <w:p w:rsidR="00DB7A25" w:rsidRPr="009752D7" w:rsidRDefault="00774A36" w:rsidP="006411DB">
            <w:pPr>
              <w:jc w:val="center"/>
              <w:rPr>
                <w:sz w:val="22"/>
                <w:szCs w:val="22"/>
              </w:rPr>
            </w:pPr>
            <w:r w:rsidRPr="009752D7">
              <w:rPr>
                <w:sz w:val="22"/>
                <w:szCs w:val="22"/>
              </w:rPr>
              <w:t>5 283.1</w:t>
            </w:r>
          </w:p>
        </w:tc>
        <w:tc>
          <w:tcPr>
            <w:tcW w:w="1276" w:type="dxa"/>
            <w:shd w:val="clear" w:color="auto" w:fill="auto"/>
          </w:tcPr>
          <w:p w:rsidR="00DB7A25" w:rsidRPr="009752D7" w:rsidRDefault="00774A36" w:rsidP="006411DB">
            <w:pPr>
              <w:jc w:val="center"/>
              <w:rPr>
                <w:sz w:val="22"/>
                <w:szCs w:val="22"/>
              </w:rPr>
            </w:pPr>
            <w:r w:rsidRPr="009752D7">
              <w:rPr>
                <w:sz w:val="22"/>
                <w:szCs w:val="22"/>
              </w:rPr>
              <w:t>5 282.8</w:t>
            </w:r>
          </w:p>
        </w:tc>
        <w:tc>
          <w:tcPr>
            <w:tcW w:w="1701" w:type="dxa"/>
            <w:gridSpan w:val="2"/>
            <w:shd w:val="clear" w:color="auto" w:fill="auto"/>
          </w:tcPr>
          <w:p w:rsidR="00DB7A25" w:rsidRPr="009752D7" w:rsidRDefault="00774A36" w:rsidP="006411DB">
            <w:pPr>
              <w:jc w:val="center"/>
              <w:rPr>
                <w:sz w:val="22"/>
                <w:szCs w:val="22"/>
              </w:rPr>
            </w:pPr>
            <w:r w:rsidRPr="009752D7">
              <w:rPr>
                <w:sz w:val="22"/>
                <w:szCs w:val="22"/>
              </w:rPr>
              <w:t>9.2</w:t>
            </w:r>
          </w:p>
        </w:tc>
      </w:tr>
      <w:tr w:rsidR="00DB7A25" w:rsidRPr="00ED5612" w:rsidTr="006411DB">
        <w:tc>
          <w:tcPr>
            <w:tcW w:w="5353" w:type="dxa"/>
            <w:gridSpan w:val="2"/>
            <w:shd w:val="clear" w:color="auto" w:fill="auto"/>
          </w:tcPr>
          <w:p w:rsidR="00DB7A25" w:rsidRPr="009752D7" w:rsidRDefault="00DB7A25" w:rsidP="006411DB">
            <w:pPr>
              <w:jc w:val="center"/>
              <w:rPr>
                <w:b/>
                <w:sz w:val="22"/>
                <w:szCs w:val="22"/>
              </w:rPr>
            </w:pPr>
            <w:r w:rsidRPr="009752D7">
              <w:rPr>
                <w:b/>
                <w:sz w:val="22"/>
                <w:szCs w:val="22"/>
              </w:rPr>
              <w:t>Iš viso išlaidų</w:t>
            </w:r>
          </w:p>
        </w:tc>
        <w:tc>
          <w:tcPr>
            <w:tcW w:w="1701" w:type="dxa"/>
            <w:shd w:val="clear" w:color="auto" w:fill="auto"/>
          </w:tcPr>
          <w:p w:rsidR="00DB7A25" w:rsidRPr="009752D7" w:rsidRDefault="00774A36" w:rsidP="002F36D1">
            <w:pPr>
              <w:jc w:val="center"/>
              <w:rPr>
                <w:b/>
                <w:sz w:val="22"/>
                <w:szCs w:val="22"/>
              </w:rPr>
            </w:pPr>
            <w:r w:rsidRPr="009752D7">
              <w:rPr>
                <w:b/>
                <w:sz w:val="22"/>
                <w:szCs w:val="22"/>
              </w:rPr>
              <w:t>60 412.5</w:t>
            </w:r>
          </w:p>
        </w:tc>
        <w:tc>
          <w:tcPr>
            <w:tcW w:w="1276" w:type="dxa"/>
            <w:shd w:val="clear" w:color="auto" w:fill="auto"/>
          </w:tcPr>
          <w:p w:rsidR="00DB7A25" w:rsidRPr="009752D7" w:rsidRDefault="00774A36" w:rsidP="002F36D1">
            <w:pPr>
              <w:jc w:val="center"/>
              <w:rPr>
                <w:b/>
                <w:sz w:val="22"/>
                <w:szCs w:val="22"/>
              </w:rPr>
            </w:pPr>
            <w:r w:rsidRPr="009752D7">
              <w:rPr>
                <w:b/>
                <w:sz w:val="22"/>
                <w:szCs w:val="22"/>
              </w:rPr>
              <w:t>57 666.2</w:t>
            </w:r>
          </w:p>
        </w:tc>
        <w:tc>
          <w:tcPr>
            <w:tcW w:w="1701" w:type="dxa"/>
            <w:gridSpan w:val="2"/>
            <w:shd w:val="clear" w:color="auto" w:fill="auto"/>
          </w:tcPr>
          <w:p w:rsidR="00DB7A25" w:rsidRPr="00ED5612" w:rsidRDefault="00DB7A25" w:rsidP="006411DB">
            <w:pPr>
              <w:jc w:val="center"/>
              <w:rPr>
                <w:b/>
                <w:sz w:val="22"/>
                <w:szCs w:val="22"/>
              </w:rPr>
            </w:pPr>
            <w:r w:rsidRPr="009752D7">
              <w:rPr>
                <w:b/>
                <w:sz w:val="22"/>
                <w:szCs w:val="22"/>
              </w:rPr>
              <w:t>100,0</w:t>
            </w:r>
          </w:p>
        </w:tc>
      </w:tr>
    </w:tbl>
    <w:p w:rsidR="0047321A" w:rsidRDefault="0047321A" w:rsidP="007A4E2F">
      <w:pPr>
        <w:jc w:val="both"/>
        <w:rPr>
          <w:b/>
          <w:sz w:val="24"/>
          <w:szCs w:val="24"/>
        </w:rPr>
      </w:pPr>
    </w:p>
    <w:p w:rsidR="00E419C1" w:rsidRDefault="00774A36" w:rsidP="00774A36">
      <w:pPr>
        <w:ind w:left="-90"/>
        <w:rPr>
          <w:b/>
          <w:sz w:val="24"/>
          <w:szCs w:val="24"/>
        </w:rPr>
      </w:pPr>
      <w:r>
        <w:rPr>
          <w:noProof/>
          <w:lang w:eastAsia="lt-LT"/>
        </w:rPr>
        <w:lastRenderedPageBreak/>
        <w:drawing>
          <wp:inline distT="0" distB="0" distL="0" distR="0" wp14:anchorId="3E4A870C" wp14:editId="58EFC5C7">
            <wp:extent cx="5972175" cy="4933950"/>
            <wp:effectExtent l="3810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666E1" w:rsidRDefault="002066F6" w:rsidP="004666E1">
      <w:pPr>
        <w:ind w:left="720"/>
        <w:rPr>
          <w:b/>
          <w:sz w:val="24"/>
          <w:szCs w:val="24"/>
        </w:rPr>
      </w:pPr>
      <w:r w:rsidRPr="009752D7">
        <w:rPr>
          <w:b/>
          <w:sz w:val="24"/>
          <w:szCs w:val="24"/>
        </w:rPr>
        <w:t>7</w:t>
      </w:r>
      <w:r w:rsidR="00774A36" w:rsidRPr="009752D7">
        <w:rPr>
          <w:b/>
          <w:sz w:val="24"/>
          <w:szCs w:val="24"/>
        </w:rPr>
        <w:t xml:space="preserve"> pav. 2021</w:t>
      </w:r>
      <w:r w:rsidR="004666E1" w:rsidRPr="009752D7">
        <w:rPr>
          <w:b/>
          <w:sz w:val="24"/>
          <w:szCs w:val="24"/>
        </w:rPr>
        <w:t xml:space="preserve"> m. biudžeto išlaidos pagal funkcinę klasifikaciją, procentais</w:t>
      </w:r>
    </w:p>
    <w:p w:rsidR="001E7335" w:rsidRDefault="001E7335" w:rsidP="008D360E">
      <w:pPr>
        <w:jc w:val="center"/>
        <w:rPr>
          <w:b/>
          <w:sz w:val="24"/>
          <w:szCs w:val="24"/>
        </w:rPr>
      </w:pPr>
    </w:p>
    <w:p w:rsidR="008D360E" w:rsidRPr="006F78A6" w:rsidRDefault="006F78A6" w:rsidP="008D360E">
      <w:pPr>
        <w:jc w:val="center"/>
        <w:rPr>
          <w:b/>
          <w:sz w:val="28"/>
          <w:szCs w:val="28"/>
        </w:rPr>
      </w:pPr>
      <w:r w:rsidRPr="006F78A6">
        <w:rPr>
          <w:b/>
          <w:sz w:val="28"/>
          <w:szCs w:val="28"/>
        </w:rPr>
        <w:t>2021</w:t>
      </w:r>
      <w:r w:rsidR="008D360E" w:rsidRPr="006F78A6">
        <w:rPr>
          <w:b/>
          <w:sz w:val="28"/>
          <w:szCs w:val="28"/>
        </w:rPr>
        <w:t xml:space="preserve"> m. Savivaldybės administracijos direktoriaus </w:t>
      </w:r>
    </w:p>
    <w:p w:rsidR="008D360E" w:rsidRPr="006F78A6" w:rsidRDefault="006F78A6" w:rsidP="008D360E">
      <w:pPr>
        <w:jc w:val="center"/>
        <w:rPr>
          <w:b/>
          <w:sz w:val="28"/>
          <w:szCs w:val="28"/>
        </w:rPr>
      </w:pPr>
      <w:r>
        <w:rPr>
          <w:b/>
          <w:sz w:val="28"/>
          <w:szCs w:val="28"/>
        </w:rPr>
        <w:t>rezervo lėšų pa</w:t>
      </w:r>
      <w:r w:rsidR="008D360E" w:rsidRPr="006F78A6">
        <w:rPr>
          <w:b/>
          <w:sz w:val="28"/>
          <w:szCs w:val="28"/>
        </w:rPr>
        <w:t>naudojim</w:t>
      </w:r>
      <w:r w:rsidR="008D360E" w:rsidRPr="007A71C8">
        <w:rPr>
          <w:b/>
          <w:sz w:val="28"/>
          <w:szCs w:val="28"/>
        </w:rPr>
        <w:t>as</w:t>
      </w:r>
      <w:r w:rsidR="008D360E" w:rsidRPr="006F78A6">
        <w:rPr>
          <w:b/>
          <w:sz w:val="28"/>
          <w:szCs w:val="28"/>
        </w:rPr>
        <w:t xml:space="preserve"> </w:t>
      </w:r>
    </w:p>
    <w:p w:rsidR="008D360E" w:rsidRDefault="008D360E" w:rsidP="008D360E">
      <w:pPr>
        <w:jc w:val="center"/>
        <w:rPr>
          <w:b/>
          <w:sz w:val="24"/>
          <w:szCs w:val="24"/>
          <w:highlight w:val="yellow"/>
        </w:rPr>
      </w:pPr>
    </w:p>
    <w:p w:rsidR="006F78A6" w:rsidRPr="006F78A6" w:rsidRDefault="006F78A6" w:rsidP="006F78A6">
      <w:pPr>
        <w:ind w:firstLine="720"/>
        <w:jc w:val="both"/>
        <w:rPr>
          <w:sz w:val="24"/>
          <w:szCs w:val="24"/>
        </w:rPr>
      </w:pPr>
      <w:r w:rsidRPr="006F78A6">
        <w:rPr>
          <w:sz w:val="24"/>
          <w:szCs w:val="24"/>
        </w:rPr>
        <w:t>Tvirtinant Plungės rajono savivaldybės 2021 m. biudžetą, priemonei „Savivaldybės administracijos direktoriaus rezervas“ numatyta 100 tūkst. eurų. Metų pabaigoje (įvertinus poreikį ir Lietuvos Respublikos Vyriausybės nutarimais išlaidoms kompensuoti gautą sumą) minėtos priemonės patikslintas planas – 15,2 tūkst. eurų. Panaudojimas - 10,47 tūkst. eurų.</w:t>
      </w:r>
    </w:p>
    <w:p w:rsidR="006F78A6" w:rsidRPr="006F78A6" w:rsidRDefault="006F78A6" w:rsidP="006F78A6">
      <w:pPr>
        <w:ind w:firstLine="720"/>
        <w:jc w:val="both"/>
        <w:rPr>
          <w:sz w:val="24"/>
          <w:szCs w:val="24"/>
        </w:rPr>
      </w:pPr>
      <w:r w:rsidRPr="006F78A6">
        <w:rPr>
          <w:sz w:val="24"/>
          <w:szCs w:val="24"/>
        </w:rPr>
        <w:t>Direktoriaus rezervas panaudotas pagal Plungės rajono savivaldybės tarybos 2019 m. gruodžio 19 d. sprendimu Nr. T1-306 patvirtintą Plungės rajono savivaldybės administracijos direktoriaus rezervo lėšų naudojimo tvarkos aprašą</w:t>
      </w:r>
      <w:r w:rsidR="000326FC">
        <w:rPr>
          <w:sz w:val="24"/>
          <w:szCs w:val="24"/>
        </w:rPr>
        <w:t>,</w:t>
      </w:r>
      <w:r w:rsidRPr="006F78A6">
        <w:rPr>
          <w:sz w:val="24"/>
          <w:szCs w:val="24"/>
        </w:rPr>
        <w:t xml:space="preserve"> parengtais Savivaldybės administracijos direktoriaus įsakymais.</w:t>
      </w:r>
    </w:p>
    <w:p w:rsidR="006F78A6" w:rsidRPr="006F78A6" w:rsidRDefault="006F78A6" w:rsidP="006F78A6">
      <w:pPr>
        <w:ind w:firstLine="720"/>
        <w:jc w:val="both"/>
        <w:rPr>
          <w:sz w:val="24"/>
          <w:szCs w:val="24"/>
        </w:rPr>
      </w:pPr>
      <w:r w:rsidRPr="006F78A6">
        <w:rPr>
          <w:sz w:val="24"/>
          <w:szCs w:val="24"/>
        </w:rPr>
        <w:t xml:space="preserve">Visos lėšos panaudotos, Savivaldybės administracijai ir jai pavaldžioms įstaigoms, siekiant šalinti COVID-19 ligos padarinius ir valdyti pandemijos plitimą: pirktos medicininės ir dezinfekcinės priemonės, apmokėtos </w:t>
      </w:r>
      <w:proofErr w:type="spellStart"/>
      <w:r w:rsidRPr="006F78A6">
        <w:rPr>
          <w:sz w:val="24"/>
          <w:szCs w:val="24"/>
        </w:rPr>
        <w:t>karantinuotų</w:t>
      </w:r>
      <w:proofErr w:type="spellEnd"/>
      <w:r w:rsidRPr="006F78A6">
        <w:rPr>
          <w:sz w:val="24"/>
          <w:szCs w:val="24"/>
        </w:rPr>
        <w:t xml:space="preserve"> asmenų pervežimo, išrašomų iš stacionarių asmens sveikatos priežiūros įstaigų tęsti COVID-19 ligos gydymo </w:t>
      </w:r>
      <w:proofErr w:type="spellStart"/>
      <w:r w:rsidRPr="006F78A6">
        <w:rPr>
          <w:sz w:val="24"/>
          <w:szCs w:val="24"/>
        </w:rPr>
        <w:t>ambulatoriškai</w:t>
      </w:r>
      <w:proofErr w:type="spellEnd"/>
      <w:r w:rsidRPr="006F78A6">
        <w:rPr>
          <w:sz w:val="24"/>
          <w:szCs w:val="24"/>
        </w:rPr>
        <w:t>, transportavimą į šių asmenų namus ar į kitą gyvenamąją vietą, jeigu tokie asmenys neturi galimybės grįžti nuosavu ar artimųjų transportu, išlaidos, mobilaus punkto ir patalpų dezinfekavimo išlaidos, mobiliajame punkte dviejų bendrosios praktikos slaugytojų po 0,5 etato krūviu darbo užmokesčio išlaidos.</w:t>
      </w:r>
    </w:p>
    <w:p w:rsidR="006F78A6" w:rsidRPr="006F78A6" w:rsidRDefault="006F78A6" w:rsidP="006F78A6">
      <w:pPr>
        <w:ind w:firstLine="720"/>
        <w:jc w:val="both"/>
        <w:rPr>
          <w:strike/>
          <w:sz w:val="24"/>
          <w:szCs w:val="24"/>
        </w:rPr>
      </w:pPr>
      <w:r w:rsidRPr="006F78A6">
        <w:rPr>
          <w:sz w:val="24"/>
          <w:szCs w:val="24"/>
        </w:rPr>
        <w:t xml:space="preserve">Savivaldybės administracija, vadovaudamasi Lietuvos Respublikos finansų ministerijos nurodymais, pateikė 3 prašymus šalinti COVID-19 ligos padarinius ir valdyti jos plitimą išlaidoms kompensuoti: iš viso 191 407,56 eurus. Savivaldybei kompensuota suma – 146 915 eurų. Gautos lėšos pagal patirtas išlaidas, patikslinus Savivaldybės biudžetą, skirtos: SĮ „Plungės būstas“ – 125 </w:t>
      </w:r>
      <w:r w:rsidRPr="006F78A6">
        <w:rPr>
          <w:sz w:val="24"/>
          <w:szCs w:val="24"/>
        </w:rPr>
        <w:lastRenderedPageBreak/>
        <w:t xml:space="preserve">703 eurai, Visuomenės sveikatos biurui – 736 eurai, Savivaldybės administracijai – 20 113 eurų, </w:t>
      </w:r>
      <w:proofErr w:type="spellStart"/>
      <w:r w:rsidRPr="006F78A6">
        <w:rPr>
          <w:sz w:val="24"/>
          <w:szCs w:val="24"/>
        </w:rPr>
        <w:t>VšĮ</w:t>
      </w:r>
      <w:proofErr w:type="spellEnd"/>
      <w:r w:rsidRPr="006F78A6">
        <w:rPr>
          <w:sz w:val="24"/>
          <w:szCs w:val="24"/>
        </w:rPr>
        <w:t xml:space="preserve"> Plungės rajono savivaldybės ligoninei – 363 eurai.</w:t>
      </w:r>
    </w:p>
    <w:p w:rsidR="006F78A6" w:rsidRPr="006F78A6" w:rsidRDefault="006F78A6" w:rsidP="006F78A6">
      <w:pPr>
        <w:ind w:firstLine="720"/>
        <w:jc w:val="both"/>
        <w:rPr>
          <w:sz w:val="24"/>
          <w:szCs w:val="24"/>
        </w:rPr>
      </w:pPr>
      <w:r w:rsidRPr="006F78A6">
        <w:rPr>
          <w:sz w:val="24"/>
          <w:szCs w:val="24"/>
        </w:rPr>
        <w:t xml:space="preserve">Plungės rajono savivaldybei kompensuota 146 915 eurų. Tai sumažino direktoriaus rezervo išlaidas. </w:t>
      </w:r>
    </w:p>
    <w:p w:rsidR="000910B3" w:rsidRDefault="006F78A6" w:rsidP="000910B3">
      <w:pPr>
        <w:ind w:left="720"/>
        <w:jc w:val="center"/>
        <w:rPr>
          <w:b/>
          <w:sz w:val="28"/>
          <w:szCs w:val="28"/>
        </w:rPr>
      </w:pPr>
      <w:r>
        <w:rPr>
          <w:b/>
          <w:sz w:val="28"/>
          <w:szCs w:val="28"/>
        </w:rPr>
        <w:t>I</w:t>
      </w:r>
      <w:r w:rsidR="000910B3">
        <w:rPr>
          <w:b/>
          <w:sz w:val="28"/>
          <w:szCs w:val="28"/>
        </w:rPr>
        <w:t>šlaidos švietimui</w:t>
      </w:r>
    </w:p>
    <w:p w:rsidR="00750115" w:rsidRDefault="00750115" w:rsidP="00701AA5">
      <w:pPr>
        <w:ind w:firstLine="720"/>
        <w:jc w:val="both"/>
        <w:rPr>
          <w:sz w:val="24"/>
          <w:szCs w:val="24"/>
        </w:rPr>
      </w:pPr>
    </w:p>
    <w:p w:rsidR="000910B3" w:rsidRDefault="00FF27D4" w:rsidP="00701AA5">
      <w:pPr>
        <w:ind w:firstLine="720"/>
        <w:jc w:val="both"/>
        <w:rPr>
          <w:sz w:val="24"/>
          <w:szCs w:val="24"/>
        </w:rPr>
      </w:pPr>
      <w:r>
        <w:rPr>
          <w:sz w:val="24"/>
          <w:szCs w:val="24"/>
        </w:rPr>
        <w:t>2021</w:t>
      </w:r>
      <w:r w:rsidR="000910B3">
        <w:rPr>
          <w:sz w:val="24"/>
          <w:szCs w:val="24"/>
        </w:rPr>
        <w:t xml:space="preserve"> m., kaip ir ankstesniais metais, </w:t>
      </w:r>
      <w:r w:rsidR="000910B3" w:rsidRPr="006E1930">
        <w:rPr>
          <w:sz w:val="24"/>
          <w:szCs w:val="24"/>
        </w:rPr>
        <w:t xml:space="preserve">švietimui buvo skirta </w:t>
      </w:r>
      <w:r w:rsidR="000910B3">
        <w:rPr>
          <w:sz w:val="24"/>
          <w:szCs w:val="24"/>
        </w:rPr>
        <w:t xml:space="preserve">daugiausia lėšų – </w:t>
      </w:r>
      <w:r w:rsidR="00BF05E4">
        <w:rPr>
          <w:sz w:val="24"/>
          <w:szCs w:val="24"/>
        </w:rPr>
        <w:t>34,</w:t>
      </w:r>
      <w:r>
        <w:rPr>
          <w:sz w:val="24"/>
          <w:szCs w:val="24"/>
        </w:rPr>
        <w:t>4</w:t>
      </w:r>
      <w:r w:rsidR="002066F6">
        <w:rPr>
          <w:sz w:val="24"/>
          <w:szCs w:val="24"/>
        </w:rPr>
        <w:t xml:space="preserve">  proc. visų biudžeto lėšų. 6</w:t>
      </w:r>
      <w:r w:rsidR="00BF05E4">
        <w:rPr>
          <w:sz w:val="24"/>
          <w:szCs w:val="24"/>
        </w:rPr>
        <w:t xml:space="preserve"> lentelėje pateikiame </w:t>
      </w:r>
      <w:r w:rsidR="000910B3">
        <w:rPr>
          <w:sz w:val="24"/>
          <w:szCs w:val="24"/>
        </w:rPr>
        <w:t>skaičiavimus, kiek kurioje švie</w:t>
      </w:r>
      <w:r>
        <w:rPr>
          <w:sz w:val="24"/>
          <w:szCs w:val="24"/>
        </w:rPr>
        <w:t>timo įstaigoje Savivaldybei 2021</w:t>
      </w:r>
      <w:r w:rsidR="000910B3">
        <w:rPr>
          <w:sz w:val="24"/>
          <w:szCs w:val="24"/>
        </w:rPr>
        <w:t xml:space="preserve"> metais kainavo vieno vaiko, mokinio išlaikymas, lavinimas.</w:t>
      </w:r>
    </w:p>
    <w:p w:rsidR="000910B3" w:rsidRDefault="000910B3" w:rsidP="000910B3">
      <w:pPr>
        <w:jc w:val="center"/>
        <w:rPr>
          <w:b/>
          <w:sz w:val="24"/>
          <w:szCs w:val="24"/>
        </w:rPr>
      </w:pPr>
    </w:p>
    <w:p w:rsidR="000910B3" w:rsidRDefault="002066F6" w:rsidP="000910B3">
      <w:pPr>
        <w:jc w:val="center"/>
        <w:rPr>
          <w:b/>
          <w:sz w:val="24"/>
          <w:szCs w:val="24"/>
        </w:rPr>
      </w:pPr>
      <w:r>
        <w:rPr>
          <w:b/>
          <w:sz w:val="24"/>
          <w:szCs w:val="24"/>
        </w:rPr>
        <w:t>6</w:t>
      </w:r>
      <w:r w:rsidR="00FF27D4">
        <w:rPr>
          <w:b/>
          <w:sz w:val="24"/>
          <w:szCs w:val="24"/>
        </w:rPr>
        <w:t xml:space="preserve"> lentelė. Lėšų, skirtų 2021</w:t>
      </w:r>
      <w:r w:rsidR="000910B3" w:rsidRPr="00454D46">
        <w:rPr>
          <w:b/>
          <w:sz w:val="24"/>
          <w:szCs w:val="24"/>
        </w:rPr>
        <w:t xml:space="preserve"> metais švietimo įstaigoms, analizė, tūkst. eurų</w:t>
      </w:r>
    </w:p>
    <w:p w:rsidR="00BF05E4" w:rsidRDefault="00BF05E4" w:rsidP="000910B3">
      <w:pPr>
        <w:jc w:val="center"/>
        <w:rPr>
          <w:b/>
          <w:sz w:val="24"/>
          <w:szCs w:val="24"/>
        </w:rPr>
      </w:pPr>
    </w:p>
    <w:tbl>
      <w:tblPr>
        <w:tblW w:w="9762" w:type="dxa"/>
        <w:tblInd w:w="88" w:type="dxa"/>
        <w:tblLook w:val="04A0" w:firstRow="1" w:lastRow="0" w:firstColumn="1" w:lastColumn="0" w:noHBand="0" w:noVBand="1"/>
      </w:tblPr>
      <w:tblGrid>
        <w:gridCol w:w="471"/>
        <w:gridCol w:w="2429"/>
        <w:gridCol w:w="711"/>
        <w:gridCol w:w="837"/>
        <w:gridCol w:w="877"/>
        <w:gridCol w:w="801"/>
        <w:gridCol w:w="837"/>
        <w:gridCol w:w="882"/>
        <w:gridCol w:w="967"/>
        <w:gridCol w:w="907"/>
        <w:gridCol w:w="43"/>
      </w:tblGrid>
      <w:tr w:rsidR="00B169B3" w:rsidRPr="00B169B3" w:rsidTr="00BF05E4">
        <w:trPr>
          <w:gridAfter w:val="1"/>
          <w:wAfter w:w="43" w:type="dxa"/>
          <w:trHeight w:val="795"/>
        </w:trPr>
        <w:tc>
          <w:tcPr>
            <w:tcW w:w="47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proofErr w:type="spellStart"/>
            <w:r w:rsidRPr="00B169B3">
              <w:rPr>
                <w:sz w:val="18"/>
                <w:szCs w:val="18"/>
                <w:lang w:val="en-US"/>
              </w:rPr>
              <w:t>Eil</w:t>
            </w:r>
            <w:proofErr w:type="spellEnd"/>
            <w:r w:rsidRPr="00B169B3">
              <w:rPr>
                <w:sz w:val="18"/>
                <w:szCs w:val="18"/>
                <w:lang w:val="en-US"/>
              </w:rPr>
              <w:t xml:space="preserve">. </w:t>
            </w:r>
            <w:proofErr w:type="spellStart"/>
            <w:r w:rsidRPr="00B169B3">
              <w:rPr>
                <w:sz w:val="18"/>
                <w:szCs w:val="18"/>
                <w:lang w:val="en-US"/>
              </w:rPr>
              <w:t>Nr</w:t>
            </w:r>
            <w:proofErr w:type="spellEnd"/>
            <w:r w:rsidRPr="00B169B3">
              <w:rPr>
                <w:sz w:val="18"/>
                <w:szCs w:val="18"/>
                <w:lang w:val="en-US"/>
              </w:rPr>
              <w:t>.</w:t>
            </w:r>
          </w:p>
        </w:tc>
        <w:tc>
          <w:tcPr>
            <w:tcW w:w="242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B169B3" w:rsidRPr="00B169B3" w:rsidRDefault="00BF05E4" w:rsidP="00B169B3">
            <w:pPr>
              <w:jc w:val="center"/>
              <w:rPr>
                <w:sz w:val="18"/>
                <w:szCs w:val="18"/>
                <w:lang w:val="en-US"/>
              </w:rPr>
            </w:pPr>
            <w:proofErr w:type="spellStart"/>
            <w:r>
              <w:rPr>
                <w:sz w:val="18"/>
                <w:szCs w:val="18"/>
                <w:lang w:val="en-US"/>
              </w:rPr>
              <w:t>Š</w:t>
            </w:r>
            <w:r w:rsidR="00B169B3" w:rsidRPr="00B169B3">
              <w:rPr>
                <w:sz w:val="18"/>
                <w:szCs w:val="18"/>
                <w:lang w:val="en-US"/>
              </w:rPr>
              <w:t>vietimo</w:t>
            </w:r>
            <w:proofErr w:type="spellEnd"/>
            <w:r w:rsidR="00B169B3" w:rsidRPr="00B169B3">
              <w:rPr>
                <w:sz w:val="18"/>
                <w:szCs w:val="18"/>
                <w:lang w:val="en-US"/>
              </w:rPr>
              <w:t xml:space="preserve"> </w:t>
            </w:r>
            <w:proofErr w:type="spellStart"/>
            <w:r w:rsidR="00B169B3" w:rsidRPr="00B169B3">
              <w:rPr>
                <w:sz w:val="18"/>
                <w:szCs w:val="18"/>
                <w:lang w:val="en-US"/>
              </w:rPr>
              <w:t>įstaiga</w:t>
            </w:r>
            <w:proofErr w:type="spellEnd"/>
          </w:p>
        </w:tc>
        <w:tc>
          <w:tcPr>
            <w:tcW w:w="2425" w:type="dxa"/>
            <w:gridSpan w:val="3"/>
            <w:tcBorders>
              <w:top w:val="single" w:sz="4" w:space="0" w:color="auto"/>
              <w:left w:val="nil"/>
              <w:bottom w:val="single" w:sz="4" w:space="0" w:color="auto"/>
              <w:right w:val="single" w:sz="4" w:space="0" w:color="000000"/>
            </w:tcBorders>
            <w:shd w:val="clear" w:color="auto" w:fill="auto"/>
            <w:vAlign w:val="bottom"/>
            <w:hideMark/>
          </w:tcPr>
          <w:p w:rsidR="00B169B3" w:rsidRPr="00B169B3" w:rsidRDefault="00B169B3" w:rsidP="00B169B3">
            <w:pPr>
              <w:jc w:val="center"/>
              <w:rPr>
                <w:sz w:val="18"/>
                <w:szCs w:val="18"/>
                <w:lang w:val="en-US"/>
              </w:rPr>
            </w:pPr>
            <w:proofErr w:type="spellStart"/>
            <w:r w:rsidRPr="00B169B3">
              <w:rPr>
                <w:sz w:val="18"/>
                <w:szCs w:val="18"/>
                <w:lang w:val="en-US"/>
              </w:rPr>
              <w:t>Savarankiškosios</w:t>
            </w:r>
            <w:proofErr w:type="spellEnd"/>
            <w:r w:rsidRPr="00B169B3">
              <w:rPr>
                <w:sz w:val="18"/>
                <w:szCs w:val="18"/>
                <w:lang w:val="en-US"/>
              </w:rPr>
              <w:t xml:space="preserve"> </w:t>
            </w:r>
            <w:proofErr w:type="spellStart"/>
            <w:r w:rsidRPr="00B169B3">
              <w:rPr>
                <w:sz w:val="18"/>
                <w:szCs w:val="18"/>
                <w:lang w:val="en-US"/>
              </w:rPr>
              <w:t>savivaldybių</w:t>
            </w:r>
            <w:proofErr w:type="spellEnd"/>
            <w:r w:rsidRPr="00B169B3">
              <w:rPr>
                <w:sz w:val="18"/>
                <w:szCs w:val="18"/>
                <w:lang w:val="en-US"/>
              </w:rPr>
              <w:t xml:space="preserve"> </w:t>
            </w:r>
            <w:proofErr w:type="spellStart"/>
            <w:r w:rsidRPr="00B169B3">
              <w:rPr>
                <w:sz w:val="18"/>
                <w:szCs w:val="18"/>
                <w:lang w:val="en-US"/>
              </w:rPr>
              <w:t>funkcijos</w:t>
            </w:r>
            <w:proofErr w:type="spellEnd"/>
            <w:r w:rsidRPr="00B169B3">
              <w:rPr>
                <w:sz w:val="18"/>
                <w:szCs w:val="18"/>
                <w:lang w:val="en-US"/>
              </w:rPr>
              <w:t xml:space="preserve">, </w:t>
            </w:r>
            <w:proofErr w:type="spellStart"/>
            <w:r w:rsidRPr="00B169B3">
              <w:rPr>
                <w:sz w:val="18"/>
                <w:szCs w:val="18"/>
                <w:lang w:val="en-US"/>
              </w:rPr>
              <w:t>kitos</w:t>
            </w:r>
            <w:proofErr w:type="spellEnd"/>
            <w:r w:rsidRPr="00B169B3">
              <w:rPr>
                <w:sz w:val="18"/>
                <w:szCs w:val="18"/>
                <w:lang w:val="en-US"/>
              </w:rPr>
              <w:t xml:space="preserve"> </w:t>
            </w:r>
            <w:proofErr w:type="spellStart"/>
            <w:r w:rsidRPr="00B169B3">
              <w:rPr>
                <w:sz w:val="18"/>
                <w:szCs w:val="18"/>
                <w:lang w:val="en-US"/>
              </w:rPr>
              <w:t>dotacijos</w:t>
            </w:r>
            <w:proofErr w:type="spellEnd"/>
          </w:p>
        </w:tc>
        <w:tc>
          <w:tcPr>
            <w:tcW w:w="2520" w:type="dxa"/>
            <w:gridSpan w:val="3"/>
            <w:tcBorders>
              <w:top w:val="single" w:sz="4" w:space="0" w:color="auto"/>
              <w:left w:val="nil"/>
              <w:bottom w:val="single" w:sz="4" w:space="0" w:color="auto"/>
              <w:right w:val="single" w:sz="4" w:space="0" w:color="000000"/>
            </w:tcBorders>
            <w:shd w:val="clear" w:color="auto" w:fill="auto"/>
            <w:vAlign w:val="bottom"/>
            <w:hideMark/>
          </w:tcPr>
          <w:p w:rsidR="00B169B3" w:rsidRPr="00B169B3" w:rsidRDefault="00B169B3" w:rsidP="00B169B3">
            <w:pPr>
              <w:jc w:val="center"/>
              <w:rPr>
                <w:sz w:val="18"/>
                <w:szCs w:val="18"/>
                <w:lang w:val="en-US"/>
              </w:rPr>
            </w:pPr>
            <w:proofErr w:type="spellStart"/>
            <w:r w:rsidRPr="00B169B3">
              <w:rPr>
                <w:sz w:val="18"/>
                <w:szCs w:val="18"/>
                <w:lang w:val="en-US"/>
              </w:rPr>
              <w:t>Dotacija</w:t>
            </w:r>
            <w:proofErr w:type="spellEnd"/>
            <w:r w:rsidRPr="00B169B3">
              <w:rPr>
                <w:sz w:val="18"/>
                <w:szCs w:val="18"/>
                <w:lang w:val="en-US"/>
              </w:rPr>
              <w:t xml:space="preserve"> </w:t>
            </w:r>
            <w:proofErr w:type="spellStart"/>
            <w:r w:rsidRPr="00B169B3">
              <w:rPr>
                <w:sz w:val="18"/>
                <w:szCs w:val="18"/>
                <w:lang w:val="en-US"/>
              </w:rPr>
              <w:t>ugdymo</w:t>
            </w:r>
            <w:proofErr w:type="spellEnd"/>
            <w:r w:rsidRPr="00B169B3">
              <w:rPr>
                <w:sz w:val="18"/>
                <w:szCs w:val="18"/>
                <w:lang w:val="en-US"/>
              </w:rPr>
              <w:t xml:space="preserve"> </w:t>
            </w:r>
            <w:proofErr w:type="spellStart"/>
            <w:r w:rsidRPr="00B169B3">
              <w:rPr>
                <w:sz w:val="18"/>
                <w:szCs w:val="18"/>
                <w:lang w:val="en-US"/>
              </w:rPr>
              <w:t>reikmėms</w:t>
            </w:r>
            <w:proofErr w:type="spellEnd"/>
            <w:r w:rsidRPr="00B169B3">
              <w:rPr>
                <w:sz w:val="18"/>
                <w:szCs w:val="18"/>
                <w:lang w:val="en-US"/>
              </w:rPr>
              <w:t xml:space="preserve"> </w:t>
            </w:r>
            <w:proofErr w:type="spellStart"/>
            <w:r w:rsidRPr="00B169B3">
              <w:rPr>
                <w:sz w:val="18"/>
                <w:szCs w:val="18"/>
                <w:lang w:val="en-US"/>
              </w:rPr>
              <w:t>finansuoti</w:t>
            </w:r>
            <w:proofErr w:type="spellEnd"/>
          </w:p>
        </w:tc>
        <w:tc>
          <w:tcPr>
            <w:tcW w:w="1874" w:type="dxa"/>
            <w:gridSpan w:val="2"/>
            <w:tcBorders>
              <w:top w:val="single" w:sz="4" w:space="0" w:color="auto"/>
              <w:left w:val="nil"/>
              <w:bottom w:val="single" w:sz="4" w:space="0" w:color="auto"/>
              <w:right w:val="single" w:sz="4" w:space="0" w:color="000000"/>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IŠ VISO</w:t>
            </w:r>
          </w:p>
        </w:tc>
      </w:tr>
      <w:tr w:rsidR="00B169B3" w:rsidRPr="00B169B3" w:rsidTr="00BF05E4">
        <w:trPr>
          <w:gridAfter w:val="1"/>
          <w:wAfter w:w="43" w:type="dxa"/>
          <w:trHeight w:val="1335"/>
        </w:trPr>
        <w:tc>
          <w:tcPr>
            <w:tcW w:w="471" w:type="dxa"/>
            <w:vMerge/>
            <w:tcBorders>
              <w:top w:val="single" w:sz="4" w:space="0" w:color="auto"/>
              <w:left w:val="single" w:sz="4" w:space="0" w:color="auto"/>
              <w:bottom w:val="single" w:sz="4" w:space="0" w:color="auto"/>
              <w:right w:val="single" w:sz="4" w:space="0" w:color="auto"/>
            </w:tcBorders>
            <w:vAlign w:val="center"/>
            <w:hideMark/>
          </w:tcPr>
          <w:p w:rsidR="00B169B3" w:rsidRPr="00B169B3" w:rsidRDefault="00B169B3" w:rsidP="00B169B3">
            <w:pPr>
              <w:rPr>
                <w:sz w:val="18"/>
                <w:szCs w:val="18"/>
                <w:lang w:val="en-US"/>
              </w:rPr>
            </w:pPr>
          </w:p>
        </w:tc>
        <w:tc>
          <w:tcPr>
            <w:tcW w:w="2429" w:type="dxa"/>
            <w:vMerge/>
            <w:tcBorders>
              <w:top w:val="single" w:sz="4" w:space="0" w:color="auto"/>
              <w:left w:val="single" w:sz="4" w:space="0" w:color="auto"/>
              <w:bottom w:val="single" w:sz="4" w:space="0" w:color="auto"/>
              <w:right w:val="single" w:sz="4" w:space="0" w:color="auto"/>
            </w:tcBorders>
            <w:vAlign w:val="center"/>
            <w:hideMark/>
          </w:tcPr>
          <w:p w:rsidR="00B169B3" w:rsidRPr="00B169B3" w:rsidRDefault="00B169B3" w:rsidP="00B169B3">
            <w:pPr>
              <w:rPr>
                <w:sz w:val="18"/>
                <w:szCs w:val="18"/>
                <w:lang w:val="en-US"/>
              </w:rPr>
            </w:pPr>
          </w:p>
        </w:tc>
        <w:tc>
          <w:tcPr>
            <w:tcW w:w="711"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proofErr w:type="spellStart"/>
            <w:r w:rsidRPr="00B169B3">
              <w:rPr>
                <w:sz w:val="18"/>
                <w:szCs w:val="18"/>
                <w:lang w:val="en-US"/>
              </w:rPr>
              <w:t>Viso</w:t>
            </w:r>
            <w:proofErr w:type="spellEnd"/>
            <w:r w:rsidRPr="00B169B3">
              <w:rPr>
                <w:sz w:val="18"/>
                <w:szCs w:val="18"/>
                <w:lang w:val="en-US"/>
              </w:rPr>
              <w:t xml:space="preserve"> </w:t>
            </w:r>
            <w:proofErr w:type="spellStart"/>
            <w:r w:rsidRPr="00B169B3">
              <w:rPr>
                <w:sz w:val="18"/>
                <w:szCs w:val="18"/>
                <w:lang w:val="en-US"/>
              </w:rPr>
              <w:t>išlaidų</w:t>
            </w:r>
            <w:proofErr w:type="spellEnd"/>
            <w:r w:rsidRPr="00B169B3">
              <w:rPr>
                <w:sz w:val="18"/>
                <w:szCs w:val="18"/>
                <w:lang w:val="en-US"/>
              </w:rPr>
              <w:t xml:space="preserve"> 2021 m.</w:t>
            </w:r>
          </w:p>
        </w:tc>
        <w:tc>
          <w:tcPr>
            <w:tcW w:w="837" w:type="dxa"/>
            <w:tcBorders>
              <w:top w:val="nil"/>
              <w:left w:val="nil"/>
              <w:bottom w:val="single" w:sz="4" w:space="0" w:color="auto"/>
              <w:right w:val="single" w:sz="4" w:space="0" w:color="auto"/>
            </w:tcBorders>
            <w:shd w:val="clear" w:color="auto" w:fill="auto"/>
            <w:vAlign w:val="center"/>
            <w:hideMark/>
          </w:tcPr>
          <w:p w:rsidR="00B169B3" w:rsidRPr="00B169B3" w:rsidRDefault="00B169B3" w:rsidP="00B169B3">
            <w:pPr>
              <w:jc w:val="center"/>
              <w:rPr>
                <w:sz w:val="18"/>
                <w:szCs w:val="18"/>
                <w:lang w:val="en-US"/>
              </w:rPr>
            </w:pPr>
            <w:proofErr w:type="spellStart"/>
            <w:r w:rsidRPr="00B169B3">
              <w:rPr>
                <w:sz w:val="18"/>
                <w:szCs w:val="18"/>
                <w:lang w:val="en-US"/>
              </w:rPr>
              <w:t>Mokinių</w:t>
            </w:r>
            <w:proofErr w:type="spellEnd"/>
            <w:r w:rsidRPr="00B169B3">
              <w:rPr>
                <w:sz w:val="18"/>
                <w:szCs w:val="18"/>
                <w:lang w:val="en-US"/>
              </w:rPr>
              <w:t xml:space="preserve"> sk. 2021-09-01</w:t>
            </w:r>
          </w:p>
        </w:tc>
        <w:tc>
          <w:tcPr>
            <w:tcW w:w="87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proofErr w:type="spellStart"/>
            <w:r w:rsidRPr="00B169B3">
              <w:rPr>
                <w:b/>
                <w:bCs/>
                <w:sz w:val="18"/>
                <w:szCs w:val="18"/>
                <w:lang w:val="en-US"/>
              </w:rPr>
              <w:t>Tenka</w:t>
            </w:r>
            <w:proofErr w:type="spellEnd"/>
            <w:r w:rsidRPr="00B169B3">
              <w:rPr>
                <w:b/>
                <w:bCs/>
                <w:sz w:val="18"/>
                <w:szCs w:val="18"/>
                <w:lang w:val="en-US"/>
              </w:rPr>
              <w:t xml:space="preserve"> </w:t>
            </w:r>
            <w:proofErr w:type="spellStart"/>
            <w:r w:rsidRPr="00B169B3">
              <w:rPr>
                <w:b/>
                <w:bCs/>
                <w:sz w:val="18"/>
                <w:szCs w:val="18"/>
                <w:lang w:val="en-US"/>
              </w:rPr>
              <w:t>biudžeto</w:t>
            </w:r>
            <w:proofErr w:type="spellEnd"/>
            <w:r w:rsidRPr="00B169B3">
              <w:rPr>
                <w:b/>
                <w:bCs/>
                <w:sz w:val="18"/>
                <w:szCs w:val="18"/>
                <w:lang w:val="en-US"/>
              </w:rPr>
              <w:t xml:space="preserve"> </w:t>
            </w:r>
            <w:proofErr w:type="spellStart"/>
            <w:r w:rsidRPr="00B169B3">
              <w:rPr>
                <w:b/>
                <w:bCs/>
                <w:sz w:val="18"/>
                <w:szCs w:val="18"/>
                <w:lang w:val="en-US"/>
              </w:rPr>
              <w:t>lėšų</w:t>
            </w:r>
            <w:proofErr w:type="spellEnd"/>
            <w:r w:rsidRPr="00B169B3">
              <w:rPr>
                <w:b/>
                <w:bCs/>
                <w:sz w:val="18"/>
                <w:szCs w:val="18"/>
                <w:lang w:val="en-US"/>
              </w:rPr>
              <w:t xml:space="preserve"> 1 </w:t>
            </w:r>
            <w:proofErr w:type="spellStart"/>
            <w:r w:rsidRPr="00B169B3">
              <w:rPr>
                <w:b/>
                <w:bCs/>
                <w:sz w:val="18"/>
                <w:szCs w:val="18"/>
                <w:lang w:val="en-US"/>
              </w:rPr>
              <w:t>mok</w:t>
            </w:r>
            <w:proofErr w:type="spellEnd"/>
            <w:r w:rsidRPr="00B169B3">
              <w:rPr>
                <w:b/>
                <w:bCs/>
                <w:sz w:val="18"/>
                <w:szCs w:val="18"/>
                <w:lang w:val="en-US"/>
              </w:rPr>
              <w:t>.</w:t>
            </w:r>
          </w:p>
        </w:tc>
        <w:tc>
          <w:tcPr>
            <w:tcW w:w="801"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proofErr w:type="spellStart"/>
            <w:r w:rsidRPr="00B169B3">
              <w:rPr>
                <w:sz w:val="18"/>
                <w:szCs w:val="18"/>
                <w:lang w:val="en-US"/>
              </w:rPr>
              <w:t>Viso</w:t>
            </w:r>
            <w:proofErr w:type="spellEnd"/>
            <w:r w:rsidRPr="00B169B3">
              <w:rPr>
                <w:sz w:val="18"/>
                <w:szCs w:val="18"/>
                <w:lang w:val="en-US"/>
              </w:rPr>
              <w:t xml:space="preserve"> </w:t>
            </w:r>
            <w:proofErr w:type="spellStart"/>
            <w:r w:rsidRPr="00B169B3">
              <w:rPr>
                <w:sz w:val="18"/>
                <w:szCs w:val="18"/>
                <w:lang w:val="en-US"/>
              </w:rPr>
              <w:t>išlaidų</w:t>
            </w:r>
            <w:proofErr w:type="spellEnd"/>
            <w:r w:rsidRPr="00B169B3">
              <w:rPr>
                <w:sz w:val="18"/>
                <w:szCs w:val="18"/>
                <w:lang w:val="en-US"/>
              </w:rPr>
              <w:t xml:space="preserve"> 2021 m.</w:t>
            </w:r>
          </w:p>
        </w:tc>
        <w:tc>
          <w:tcPr>
            <w:tcW w:w="837" w:type="dxa"/>
            <w:tcBorders>
              <w:top w:val="nil"/>
              <w:left w:val="nil"/>
              <w:bottom w:val="single" w:sz="4" w:space="0" w:color="auto"/>
              <w:right w:val="single" w:sz="4" w:space="0" w:color="auto"/>
            </w:tcBorders>
            <w:shd w:val="clear" w:color="auto" w:fill="auto"/>
            <w:vAlign w:val="center"/>
            <w:hideMark/>
          </w:tcPr>
          <w:p w:rsidR="00B169B3" w:rsidRPr="00B169B3" w:rsidRDefault="00B169B3" w:rsidP="00B169B3">
            <w:pPr>
              <w:jc w:val="center"/>
              <w:rPr>
                <w:sz w:val="18"/>
                <w:szCs w:val="18"/>
                <w:lang w:val="en-US"/>
              </w:rPr>
            </w:pPr>
            <w:proofErr w:type="spellStart"/>
            <w:r w:rsidRPr="00B169B3">
              <w:rPr>
                <w:sz w:val="18"/>
                <w:szCs w:val="18"/>
                <w:lang w:val="en-US"/>
              </w:rPr>
              <w:t>Mokinių</w:t>
            </w:r>
            <w:proofErr w:type="spellEnd"/>
            <w:r w:rsidRPr="00B169B3">
              <w:rPr>
                <w:sz w:val="18"/>
                <w:szCs w:val="18"/>
                <w:lang w:val="en-US"/>
              </w:rPr>
              <w:t xml:space="preserve"> sk. 2021-09-01</w:t>
            </w:r>
          </w:p>
        </w:tc>
        <w:tc>
          <w:tcPr>
            <w:tcW w:w="882" w:type="dxa"/>
            <w:tcBorders>
              <w:top w:val="nil"/>
              <w:left w:val="nil"/>
              <w:bottom w:val="single" w:sz="4" w:space="0" w:color="auto"/>
              <w:right w:val="single" w:sz="4" w:space="0" w:color="auto"/>
            </w:tcBorders>
            <w:shd w:val="clear" w:color="auto" w:fill="auto"/>
            <w:vAlign w:val="bottom"/>
            <w:hideMark/>
          </w:tcPr>
          <w:p w:rsidR="00B169B3" w:rsidRPr="007A71C8" w:rsidRDefault="00B169B3" w:rsidP="00B169B3">
            <w:pPr>
              <w:jc w:val="center"/>
              <w:rPr>
                <w:b/>
                <w:bCs/>
                <w:sz w:val="18"/>
                <w:szCs w:val="18"/>
                <w:lang w:val="de-DE"/>
              </w:rPr>
            </w:pPr>
            <w:proofErr w:type="spellStart"/>
            <w:r w:rsidRPr="007A71C8">
              <w:rPr>
                <w:b/>
                <w:bCs/>
                <w:sz w:val="18"/>
                <w:szCs w:val="18"/>
                <w:lang w:val="de-DE"/>
              </w:rPr>
              <w:t>Tenka</w:t>
            </w:r>
            <w:proofErr w:type="spellEnd"/>
            <w:r w:rsidRPr="007A71C8">
              <w:rPr>
                <w:b/>
                <w:bCs/>
                <w:sz w:val="18"/>
                <w:szCs w:val="18"/>
                <w:lang w:val="de-DE"/>
              </w:rPr>
              <w:t xml:space="preserve"> </w:t>
            </w:r>
            <w:proofErr w:type="spellStart"/>
            <w:r w:rsidRPr="007A71C8">
              <w:rPr>
                <w:b/>
                <w:bCs/>
                <w:sz w:val="18"/>
                <w:szCs w:val="18"/>
                <w:lang w:val="de-DE"/>
              </w:rPr>
              <w:t>lėšų</w:t>
            </w:r>
            <w:proofErr w:type="spellEnd"/>
            <w:r w:rsidRPr="007A71C8">
              <w:rPr>
                <w:b/>
                <w:bCs/>
                <w:sz w:val="18"/>
                <w:szCs w:val="18"/>
                <w:lang w:val="de-DE"/>
              </w:rPr>
              <w:t xml:space="preserve"> </w:t>
            </w:r>
            <w:proofErr w:type="spellStart"/>
            <w:r w:rsidRPr="007A71C8">
              <w:rPr>
                <w:b/>
                <w:bCs/>
                <w:sz w:val="18"/>
                <w:szCs w:val="18"/>
                <w:lang w:val="de-DE"/>
              </w:rPr>
              <w:t>ugd</w:t>
            </w:r>
            <w:proofErr w:type="spellEnd"/>
            <w:r w:rsidRPr="007A71C8">
              <w:rPr>
                <w:b/>
                <w:bCs/>
                <w:sz w:val="18"/>
                <w:szCs w:val="18"/>
                <w:lang w:val="de-DE"/>
              </w:rPr>
              <w:t xml:space="preserve">. </w:t>
            </w:r>
            <w:proofErr w:type="spellStart"/>
            <w:r w:rsidRPr="007A71C8">
              <w:rPr>
                <w:b/>
                <w:bCs/>
                <w:sz w:val="18"/>
                <w:szCs w:val="18"/>
                <w:lang w:val="de-DE"/>
              </w:rPr>
              <w:t>reikm</w:t>
            </w:r>
            <w:proofErr w:type="spellEnd"/>
            <w:r w:rsidRPr="007A71C8">
              <w:rPr>
                <w:b/>
                <w:bCs/>
                <w:sz w:val="18"/>
                <w:szCs w:val="18"/>
                <w:lang w:val="de-DE"/>
              </w:rPr>
              <w:t xml:space="preserve">.  1 </w:t>
            </w:r>
            <w:proofErr w:type="spellStart"/>
            <w:r w:rsidRPr="007A71C8">
              <w:rPr>
                <w:b/>
                <w:bCs/>
                <w:sz w:val="18"/>
                <w:szCs w:val="18"/>
                <w:lang w:val="de-DE"/>
              </w:rPr>
              <w:t>mok</w:t>
            </w:r>
            <w:proofErr w:type="spellEnd"/>
            <w:r w:rsidRPr="007A71C8">
              <w:rPr>
                <w:b/>
                <w:bCs/>
                <w:sz w:val="18"/>
                <w:szCs w:val="18"/>
                <w:lang w:val="de-DE"/>
              </w:rPr>
              <w:t xml:space="preserve">. </w:t>
            </w:r>
          </w:p>
        </w:tc>
        <w:tc>
          <w:tcPr>
            <w:tcW w:w="96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VISO IŠLAIDŲ</w:t>
            </w:r>
          </w:p>
        </w:tc>
        <w:tc>
          <w:tcPr>
            <w:tcW w:w="90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proofErr w:type="spellStart"/>
            <w:r w:rsidRPr="00B169B3">
              <w:rPr>
                <w:b/>
                <w:bCs/>
                <w:sz w:val="18"/>
                <w:szCs w:val="18"/>
                <w:lang w:val="en-US"/>
              </w:rPr>
              <w:t>Tenka</w:t>
            </w:r>
            <w:proofErr w:type="spellEnd"/>
            <w:r w:rsidRPr="00B169B3">
              <w:rPr>
                <w:b/>
                <w:bCs/>
                <w:sz w:val="18"/>
                <w:szCs w:val="18"/>
                <w:lang w:val="en-US"/>
              </w:rPr>
              <w:t xml:space="preserve"> </w:t>
            </w:r>
            <w:proofErr w:type="spellStart"/>
            <w:r w:rsidRPr="00B169B3">
              <w:rPr>
                <w:b/>
                <w:bCs/>
                <w:sz w:val="18"/>
                <w:szCs w:val="18"/>
                <w:lang w:val="en-US"/>
              </w:rPr>
              <w:t>visų</w:t>
            </w:r>
            <w:proofErr w:type="spellEnd"/>
            <w:r w:rsidRPr="00B169B3">
              <w:rPr>
                <w:b/>
                <w:bCs/>
                <w:sz w:val="18"/>
                <w:szCs w:val="18"/>
                <w:lang w:val="en-US"/>
              </w:rPr>
              <w:t xml:space="preserve"> </w:t>
            </w:r>
            <w:proofErr w:type="spellStart"/>
            <w:r w:rsidRPr="00B169B3">
              <w:rPr>
                <w:b/>
                <w:bCs/>
                <w:sz w:val="18"/>
                <w:szCs w:val="18"/>
                <w:lang w:val="en-US"/>
              </w:rPr>
              <w:t>išlaidų</w:t>
            </w:r>
            <w:proofErr w:type="spellEnd"/>
            <w:r w:rsidRPr="00B169B3">
              <w:rPr>
                <w:b/>
                <w:bCs/>
                <w:sz w:val="18"/>
                <w:szCs w:val="18"/>
                <w:lang w:val="en-US"/>
              </w:rPr>
              <w:t xml:space="preserve"> 1 </w:t>
            </w:r>
            <w:proofErr w:type="spellStart"/>
            <w:r w:rsidRPr="00B169B3">
              <w:rPr>
                <w:b/>
                <w:bCs/>
                <w:sz w:val="18"/>
                <w:szCs w:val="18"/>
                <w:lang w:val="en-US"/>
              </w:rPr>
              <w:t>vaikui</w:t>
            </w:r>
            <w:proofErr w:type="spellEnd"/>
            <w:r w:rsidRPr="00B169B3">
              <w:rPr>
                <w:b/>
                <w:bCs/>
                <w:sz w:val="18"/>
                <w:szCs w:val="18"/>
                <w:lang w:val="en-US"/>
              </w:rPr>
              <w:t xml:space="preserve">, </w:t>
            </w:r>
            <w:proofErr w:type="spellStart"/>
            <w:r w:rsidRPr="00B169B3">
              <w:rPr>
                <w:b/>
                <w:bCs/>
                <w:sz w:val="18"/>
                <w:szCs w:val="18"/>
                <w:lang w:val="en-US"/>
              </w:rPr>
              <w:t>mokiniui</w:t>
            </w:r>
            <w:proofErr w:type="spellEnd"/>
          </w:p>
        </w:tc>
      </w:tr>
      <w:tr w:rsidR="00B169B3" w:rsidRPr="00B169B3" w:rsidTr="00BF05E4">
        <w:trPr>
          <w:gridAfter w:val="1"/>
          <w:wAfter w:w="43" w:type="dxa"/>
          <w:trHeight w:val="197"/>
        </w:trPr>
        <w:tc>
          <w:tcPr>
            <w:tcW w:w="471" w:type="dxa"/>
            <w:tcBorders>
              <w:top w:val="nil"/>
              <w:left w:val="single" w:sz="4" w:space="0" w:color="auto"/>
              <w:bottom w:val="single" w:sz="4" w:space="0" w:color="auto"/>
              <w:right w:val="single" w:sz="4" w:space="0" w:color="auto"/>
            </w:tcBorders>
            <w:shd w:val="clear" w:color="auto" w:fill="auto"/>
            <w:vAlign w:val="bottom"/>
          </w:tcPr>
          <w:p w:rsidR="00B169B3" w:rsidRPr="00B169B3" w:rsidRDefault="00B169B3" w:rsidP="00B169B3">
            <w:pPr>
              <w:jc w:val="center"/>
              <w:rPr>
                <w:sz w:val="18"/>
                <w:szCs w:val="18"/>
                <w:lang w:val="en-US"/>
              </w:rPr>
            </w:pPr>
            <w:r w:rsidRPr="00B169B3">
              <w:rPr>
                <w:sz w:val="18"/>
                <w:szCs w:val="18"/>
                <w:lang w:val="en-US"/>
              </w:rPr>
              <w:t>1</w:t>
            </w:r>
          </w:p>
        </w:tc>
        <w:tc>
          <w:tcPr>
            <w:tcW w:w="2429" w:type="dxa"/>
            <w:tcBorders>
              <w:top w:val="nil"/>
              <w:left w:val="nil"/>
              <w:bottom w:val="single" w:sz="4" w:space="0" w:color="auto"/>
              <w:right w:val="nil"/>
            </w:tcBorders>
            <w:shd w:val="clear" w:color="auto" w:fill="auto"/>
            <w:vAlign w:val="bottom"/>
          </w:tcPr>
          <w:p w:rsidR="00B169B3" w:rsidRPr="00B169B3" w:rsidRDefault="00B169B3" w:rsidP="00B169B3">
            <w:pPr>
              <w:jc w:val="center"/>
              <w:rPr>
                <w:sz w:val="18"/>
                <w:szCs w:val="18"/>
                <w:lang w:val="en-US"/>
              </w:rPr>
            </w:pPr>
            <w:r w:rsidRPr="00B169B3">
              <w:rPr>
                <w:sz w:val="18"/>
                <w:szCs w:val="18"/>
                <w:lang w:val="en-US"/>
              </w:rPr>
              <w:t>2</w:t>
            </w:r>
          </w:p>
        </w:tc>
        <w:tc>
          <w:tcPr>
            <w:tcW w:w="711" w:type="dxa"/>
            <w:tcBorders>
              <w:top w:val="nil"/>
              <w:left w:val="single" w:sz="4" w:space="0" w:color="auto"/>
              <w:bottom w:val="single" w:sz="4" w:space="0" w:color="auto"/>
              <w:right w:val="single" w:sz="4" w:space="0" w:color="auto"/>
            </w:tcBorders>
            <w:shd w:val="clear" w:color="auto" w:fill="auto"/>
            <w:vAlign w:val="bottom"/>
          </w:tcPr>
          <w:p w:rsidR="00B169B3" w:rsidRPr="00B169B3" w:rsidRDefault="00B169B3" w:rsidP="00B169B3">
            <w:pPr>
              <w:jc w:val="center"/>
              <w:rPr>
                <w:sz w:val="18"/>
                <w:szCs w:val="18"/>
                <w:lang w:val="en-US"/>
              </w:rPr>
            </w:pPr>
            <w:r w:rsidRPr="00B169B3">
              <w:rPr>
                <w:sz w:val="18"/>
                <w:szCs w:val="18"/>
                <w:lang w:val="en-US"/>
              </w:rPr>
              <w:t>3</w:t>
            </w:r>
          </w:p>
        </w:tc>
        <w:tc>
          <w:tcPr>
            <w:tcW w:w="837" w:type="dxa"/>
            <w:tcBorders>
              <w:top w:val="nil"/>
              <w:left w:val="nil"/>
              <w:bottom w:val="single" w:sz="4" w:space="0" w:color="auto"/>
              <w:right w:val="single" w:sz="4" w:space="0" w:color="auto"/>
            </w:tcBorders>
            <w:shd w:val="clear" w:color="auto" w:fill="auto"/>
            <w:vAlign w:val="bottom"/>
          </w:tcPr>
          <w:p w:rsidR="00B169B3" w:rsidRPr="00B169B3" w:rsidRDefault="00B169B3" w:rsidP="00B169B3">
            <w:pPr>
              <w:jc w:val="center"/>
              <w:rPr>
                <w:sz w:val="18"/>
                <w:szCs w:val="18"/>
                <w:lang w:val="en-US"/>
              </w:rPr>
            </w:pPr>
            <w:r w:rsidRPr="00B169B3">
              <w:rPr>
                <w:sz w:val="18"/>
                <w:szCs w:val="18"/>
                <w:lang w:val="en-US"/>
              </w:rPr>
              <w:t>4</w:t>
            </w:r>
          </w:p>
        </w:tc>
        <w:tc>
          <w:tcPr>
            <w:tcW w:w="877" w:type="dxa"/>
            <w:tcBorders>
              <w:top w:val="nil"/>
              <w:left w:val="nil"/>
              <w:bottom w:val="single" w:sz="4" w:space="0" w:color="auto"/>
              <w:right w:val="single" w:sz="4" w:space="0" w:color="auto"/>
            </w:tcBorders>
            <w:shd w:val="clear" w:color="auto" w:fill="auto"/>
            <w:vAlign w:val="bottom"/>
          </w:tcPr>
          <w:p w:rsidR="00B169B3" w:rsidRPr="00B169B3" w:rsidRDefault="00B169B3" w:rsidP="00B169B3">
            <w:pPr>
              <w:jc w:val="center"/>
              <w:rPr>
                <w:bCs/>
                <w:sz w:val="18"/>
                <w:szCs w:val="18"/>
                <w:lang w:val="en-US"/>
              </w:rPr>
            </w:pPr>
            <w:r w:rsidRPr="00B169B3">
              <w:rPr>
                <w:bCs/>
                <w:sz w:val="18"/>
                <w:szCs w:val="18"/>
                <w:lang w:val="en-US"/>
              </w:rPr>
              <w:t>5</w:t>
            </w:r>
          </w:p>
        </w:tc>
        <w:tc>
          <w:tcPr>
            <w:tcW w:w="801" w:type="dxa"/>
            <w:tcBorders>
              <w:top w:val="nil"/>
              <w:left w:val="nil"/>
              <w:bottom w:val="single" w:sz="4" w:space="0" w:color="auto"/>
              <w:right w:val="single" w:sz="4" w:space="0" w:color="auto"/>
            </w:tcBorders>
            <w:shd w:val="clear" w:color="auto" w:fill="auto"/>
            <w:vAlign w:val="bottom"/>
          </w:tcPr>
          <w:p w:rsidR="00B169B3" w:rsidRPr="00B169B3" w:rsidRDefault="00B169B3" w:rsidP="00B169B3">
            <w:pPr>
              <w:jc w:val="center"/>
              <w:rPr>
                <w:sz w:val="18"/>
                <w:szCs w:val="18"/>
                <w:lang w:val="en-US"/>
              </w:rPr>
            </w:pPr>
            <w:r w:rsidRPr="00B169B3">
              <w:rPr>
                <w:sz w:val="18"/>
                <w:szCs w:val="18"/>
                <w:lang w:val="en-US"/>
              </w:rPr>
              <w:t>6</w:t>
            </w:r>
          </w:p>
        </w:tc>
        <w:tc>
          <w:tcPr>
            <w:tcW w:w="837" w:type="dxa"/>
            <w:tcBorders>
              <w:top w:val="nil"/>
              <w:left w:val="nil"/>
              <w:bottom w:val="single" w:sz="4" w:space="0" w:color="auto"/>
              <w:right w:val="single" w:sz="4" w:space="0" w:color="auto"/>
            </w:tcBorders>
            <w:shd w:val="clear" w:color="auto" w:fill="auto"/>
            <w:vAlign w:val="bottom"/>
          </w:tcPr>
          <w:p w:rsidR="00B169B3" w:rsidRPr="00B169B3" w:rsidRDefault="00B169B3" w:rsidP="00B169B3">
            <w:pPr>
              <w:jc w:val="center"/>
              <w:rPr>
                <w:sz w:val="18"/>
                <w:szCs w:val="18"/>
                <w:lang w:val="en-US"/>
              </w:rPr>
            </w:pPr>
            <w:r w:rsidRPr="00B169B3">
              <w:rPr>
                <w:sz w:val="18"/>
                <w:szCs w:val="18"/>
                <w:lang w:val="en-US"/>
              </w:rPr>
              <w:t>7</w:t>
            </w:r>
          </w:p>
        </w:tc>
        <w:tc>
          <w:tcPr>
            <w:tcW w:w="882" w:type="dxa"/>
            <w:tcBorders>
              <w:top w:val="nil"/>
              <w:left w:val="nil"/>
              <w:bottom w:val="single" w:sz="4" w:space="0" w:color="auto"/>
              <w:right w:val="single" w:sz="4" w:space="0" w:color="auto"/>
            </w:tcBorders>
            <w:shd w:val="clear" w:color="auto" w:fill="auto"/>
            <w:vAlign w:val="bottom"/>
          </w:tcPr>
          <w:p w:rsidR="00B169B3" w:rsidRPr="00B169B3" w:rsidRDefault="00B169B3" w:rsidP="00B169B3">
            <w:pPr>
              <w:jc w:val="center"/>
              <w:rPr>
                <w:bCs/>
                <w:sz w:val="18"/>
                <w:szCs w:val="18"/>
                <w:lang w:val="en-US"/>
              </w:rPr>
            </w:pPr>
            <w:r w:rsidRPr="00B169B3">
              <w:rPr>
                <w:bCs/>
                <w:sz w:val="18"/>
                <w:szCs w:val="18"/>
                <w:lang w:val="en-US"/>
              </w:rPr>
              <w:t>8</w:t>
            </w:r>
          </w:p>
        </w:tc>
        <w:tc>
          <w:tcPr>
            <w:tcW w:w="967" w:type="dxa"/>
            <w:tcBorders>
              <w:top w:val="nil"/>
              <w:left w:val="nil"/>
              <w:bottom w:val="single" w:sz="4" w:space="0" w:color="auto"/>
              <w:right w:val="single" w:sz="4" w:space="0" w:color="auto"/>
            </w:tcBorders>
            <w:shd w:val="clear" w:color="auto" w:fill="auto"/>
            <w:vAlign w:val="bottom"/>
          </w:tcPr>
          <w:p w:rsidR="00B169B3" w:rsidRPr="00B169B3" w:rsidRDefault="00B169B3" w:rsidP="00B169B3">
            <w:pPr>
              <w:jc w:val="center"/>
              <w:rPr>
                <w:bCs/>
                <w:sz w:val="18"/>
                <w:szCs w:val="18"/>
                <w:lang w:val="en-US"/>
              </w:rPr>
            </w:pPr>
            <w:r w:rsidRPr="00B169B3">
              <w:rPr>
                <w:bCs/>
                <w:sz w:val="18"/>
                <w:szCs w:val="18"/>
                <w:lang w:val="en-US"/>
              </w:rPr>
              <w:t>9</w:t>
            </w:r>
          </w:p>
        </w:tc>
        <w:tc>
          <w:tcPr>
            <w:tcW w:w="907" w:type="dxa"/>
            <w:tcBorders>
              <w:top w:val="nil"/>
              <w:left w:val="nil"/>
              <w:bottom w:val="single" w:sz="4" w:space="0" w:color="auto"/>
              <w:right w:val="single" w:sz="4" w:space="0" w:color="auto"/>
            </w:tcBorders>
            <w:shd w:val="clear" w:color="auto" w:fill="auto"/>
            <w:vAlign w:val="bottom"/>
          </w:tcPr>
          <w:p w:rsidR="00B169B3" w:rsidRPr="00B169B3" w:rsidRDefault="00B169B3" w:rsidP="00B169B3">
            <w:pPr>
              <w:jc w:val="center"/>
              <w:rPr>
                <w:bCs/>
                <w:sz w:val="18"/>
                <w:szCs w:val="18"/>
                <w:lang w:val="en-US"/>
              </w:rPr>
            </w:pPr>
            <w:r w:rsidRPr="00B169B3">
              <w:rPr>
                <w:bCs/>
                <w:sz w:val="18"/>
                <w:szCs w:val="18"/>
                <w:lang w:val="en-US"/>
              </w:rPr>
              <w:t>10</w:t>
            </w:r>
          </w:p>
        </w:tc>
      </w:tr>
      <w:tr w:rsidR="00B169B3" w:rsidRPr="00B169B3" w:rsidTr="00BF05E4">
        <w:trPr>
          <w:gridAfter w:val="1"/>
          <w:wAfter w:w="43" w:type="dxa"/>
          <w:trHeight w:val="300"/>
        </w:trPr>
        <w:tc>
          <w:tcPr>
            <w:tcW w:w="47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1</w:t>
            </w:r>
          </w:p>
        </w:tc>
        <w:tc>
          <w:tcPr>
            <w:tcW w:w="2429" w:type="dxa"/>
            <w:tcBorders>
              <w:top w:val="nil"/>
              <w:left w:val="nil"/>
              <w:bottom w:val="single" w:sz="4" w:space="0" w:color="auto"/>
              <w:right w:val="nil"/>
            </w:tcBorders>
            <w:shd w:val="clear" w:color="auto" w:fill="auto"/>
            <w:vAlign w:val="bottom"/>
            <w:hideMark/>
          </w:tcPr>
          <w:p w:rsidR="00B169B3" w:rsidRPr="00B169B3" w:rsidRDefault="00B169B3" w:rsidP="00B169B3">
            <w:pPr>
              <w:rPr>
                <w:sz w:val="18"/>
                <w:szCs w:val="18"/>
                <w:lang w:val="en-US"/>
              </w:rPr>
            </w:pPr>
            <w:r w:rsidRPr="00B169B3">
              <w:rPr>
                <w:sz w:val="18"/>
                <w:szCs w:val="18"/>
                <w:lang w:val="en-US"/>
              </w:rPr>
              <w:t>"</w:t>
            </w:r>
            <w:proofErr w:type="spellStart"/>
            <w:r w:rsidRPr="00B169B3">
              <w:rPr>
                <w:sz w:val="18"/>
                <w:szCs w:val="18"/>
                <w:lang w:val="en-US"/>
              </w:rPr>
              <w:t>Saulės</w:t>
            </w:r>
            <w:proofErr w:type="spellEnd"/>
            <w:r w:rsidRPr="00B169B3">
              <w:rPr>
                <w:sz w:val="18"/>
                <w:szCs w:val="18"/>
                <w:lang w:val="en-US"/>
              </w:rPr>
              <w:t xml:space="preserve">" </w:t>
            </w:r>
            <w:proofErr w:type="spellStart"/>
            <w:r w:rsidRPr="00B169B3">
              <w:rPr>
                <w:sz w:val="18"/>
                <w:szCs w:val="18"/>
                <w:lang w:val="en-US"/>
              </w:rPr>
              <w:t>gimnazija</w:t>
            </w:r>
            <w:proofErr w:type="spellEnd"/>
          </w:p>
        </w:tc>
        <w:tc>
          <w:tcPr>
            <w:tcW w:w="71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319.7</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675</w:t>
            </w:r>
          </w:p>
        </w:tc>
        <w:tc>
          <w:tcPr>
            <w:tcW w:w="87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0.47</w:t>
            </w:r>
          </w:p>
        </w:tc>
        <w:tc>
          <w:tcPr>
            <w:tcW w:w="801"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1118.3</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675</w:t>
            </w:r>
          </w:p>
        </w:tc>
        <w:tc>
          <w:tcPr>
            <w:tcW w:w="882"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1.66</w:t>
            </w:r>
          </w:p>
        </w:tc>
        <w:tc>
          <w:tcPr>
            <w:tcW w:w="96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1438.0</w:t>
            </w:r>
          </w:p>
        </w:tc>
        <w:tc>
          <w:tcPr>
            <w:tcW w:w="90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2.13</w:t>
            </w:r>
          </w:p>
        </w:tc>
      </w:tr>
      <w:tr w:rsidR="00B169B3" w:rsidRPr="00B169B3" w:rsidTr="00BF05E4">
        <w:trPr>
          <w:gridAfter w:val="1"/>
          <w:wAfter w:w="43" w:type="dxa"/>
          <w:trHeight w:val="300"/>
        </w:trPr>
        <w:tc>
          <w:tcPr>
            <w:tcW w:w="47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2</w:t>
            </w:r>
          </w:p>
        </w:tc>
        <w:tc>
          <w:tcPr>
            <w:tcW w:w="2429" w:type="dxa"/>
            <w:tcBorders>
              <w:top w:val="nil"/>
              <w:left w:val="nil"/>
              <w:bottom w:val="single" w:sz="4" w:space="0" w:color="auto"/>
              <w:right w:val="nil"/>
            </w:tcBorders>
            <w:shd w:val="clear" w:color="auto" w:fill="auto"/>
            <w:vAlign w:val="bottom"/>
            <w:hideMark/>
          </w:tcPr>
          <w:p w:rsidR="00B169B3" w:rsidRPr="00B169B3" w:rsidRDefault="00B169B3" w:rsidP="00B169B3">
            <w:pPr>
              <w:rPr>
                <w:sz w:val="18"/>
                <w:szCs w:val="18"/>
                <w:lang w:val="en-US"/>
              </w:rPr>
            </w:pPr>
            <w:proofErr w:type="spellStart"/>
            <w:r w:rsidRPr="00B169B3">
              <w:rPr>
                <w:sz w:val="18"/>
                <w:szCs w:val="18"/>
                <w:lang w:val="en-US"/>
              </w:rPr>
              <w:t>Senamiesčio</w:t>
            </w:r>
            <w:proofErr w:type="spellEnd"/>
            <w:r w:rsidRPr="00B169B3">
              <w:rPr>
                <w:sz w:val="18"/>
                <w:szCs w:val="18"/>
                <w:lang w:val="en-US"/>
              </w:rPr>
              <w:t xml:space="preserve"> </w:t>
            </w:r>
            <w:proofErr w:type="spellStart"/>
            <w:r w:rsidRPr="00B169B3">
              <w:rPr>
                <w:sz w:val="18"/>
                <w:szCs w:val="18"/>
                <w:lang w:val="en-US"/>
              </w:rPr>
              <w:t>mokykla</w:t>
            </w:r>
            <w:proofErr w:type="spellEnd"/>
          </w:p>
        </w:tc>
        <w:tc>
          <w:tcPr>
            <w:tcW w:w="71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304.0</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820</w:t>
            </w:r>
          </w:p>
        </w:tc>
        <w:tc>
          <w:tcPr>
            <w:tcW w:w="87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0.37</w:t>
            </w:r>
          </w:p>
        </w:tc>
        <w:tc>
          <w:tcPr>
            <w:tcW w:w="801"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1285.8</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820</w:t>
            </w:r>
          </w:p>
        </w:tc>
        <w:tc>
          <w:tcPr>
            <w:tcW w:w="882"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1.57</w:t>
            </w:r>
          </w:p>
        </w:tc>
        <w:tc>
          <w:tcPr>
            <w:tcW w:w="96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1589.8</w:t>
            </w:r>
          </w:p>
        </w:tc>
        <w:tc>
          <w:tcPr>
            <w:tcW w:w="90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1.94</w:t>
            </w:r>
          </w:p>
        </w:tc>
      </w:tr>
      <w:tr w:rsidR="00B169B3" w:rsidRPr="00B169B3" w:rsidTr="00BF05E4">
        <w:trPr>
          <w:gridAfter w:val="1"/>
          <w:wAfter w:w="43" w:type="dxa"/>
          <w:trHeight w:val="300"/>
        </w:trPr>
        <w:tc>
          <w:tcPr>
            <w:tcW w:w="47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3</w:t>
            </w:r>
          </w:p>
        </w:tc>
        <w:tc>
          <w:tcPr>
            <w:tcW w:w="2429" w:type="dxa"/>
            <w:tcBorders>
              <w:top w:val="nil"/>
              <w:left w:val="nil"/>
              <w:bottom w:val="single" w:sz="4" w:space="0" w:color="auto"/>
              <w:right w:val="nil"/>
            </w:tcBorders>
            <w:shd w:val="clear" w:color="auto" w:fill="auto"/>
            <w:vAlign w:val="bottom"/>
            <w:hideMark/>
          </w:tcPr>
          <w:p w:rsidR="00B169B3" w:rsidRPr="00B169B3" w:rsidRDefault="00B169B3" w:rsidP="00B169B3">
            <w:pPr>
              <w:rPr>
                <w:sz w:val="18"/>
                <w:szCs w:val="18"/>
                <w:lang w:val="en-US"/>
              </w:rPr>
            </w:pPr>
            <w:proofErr w:type="spellStart"/>
            <w:r w:rsidRPr="00B169B3">
              <w:rPr>
                <w:sz w:val="18"/>
                <w:szCs w:val="18"/>
                <w:lang w:val="en-US"/>
              </w:rPr>
              <w:t>Alsėdžių</w:t>
            </w:r>
            <w:proofErr w:type="spellEnd"/>
            <w:r w:rsidRPr="00B169B3">
              <w:rPr>
                <w:sz w:val="18"/>
                <w:szCs w:val="18"/>
                <w:lang w:val="en-US"/>
              </w:rPr>
              <w:t xml:space="preserve"> </w:t>
            </w:r>
            <w:proofErr w:type="spellStart"/>
            <w:r w:rsidRPr="00B169B3">
              <w:rPr>
                <w:sz w:val="18"/>
                <w:szCs w:val="18"/>
                <w:lang w:val="en-US"/>
              </w:rPr>
              <w:t>S</w:t>
            </w:r>
            <w:r w:rsidR="000326FC">
              <w:rPr>
                <w:sz w:val="18"/>
                <w:szCs w:val="18"/>
                <w:lang w:val="en-US"/>
              </w:rPr>
              <w:t>tanislovo</w:t>
            </w:r>
            <w:proofErr w:type="spellEnd"/>
            <w:r w:rsidR="000326FC">
              <w:rPr>
                <w:sz w:val="18"/>
                <w:szCs w:val="18"/>
                <w:lang w:val="en-US"/>
              </w:rPr>
              <w:t xml:space="preserve"> </w:t>
            </w:r>
            <w:proofErr w:type="spellStart"/>
            <w:r w:rsidRPr="00B169B3">
              <w:rPr>
                <w:sz w:val="18"/>
                <w:szCs w:val="18"/>
                <w:lang w:val="en-US"/>
              </w:rPr>
              <w:t>Narutavičiaus</w:t>
            </w:r>
            <w:proofErr w:type="spellEnd"/>
            <w:r w:rsidRPr="00B169B3">
              <w:rPr>
                <w:sz w:val="18"/>
                <w:szCs w:val="18"/>
                <w:lang w:val="en-US"/>
              </w:rPr>
              <w:t xml:space="preserve"> </w:t>
            </w:r>
            <w:proofErr w:type="spellStart"/>
            <w:r w:rsidRPr="00B169B3">
              <w:rPr>
                <w:sz w:val="18"/>
                <w:szCs w:val="18"/>
                <w:lang w:val="en-US"/>
              </w:rPr>
              <w:t>gimn</w:t>
            </w:r>
            <w:proofErr w:type="spellEnd"/>
            <w:r w:rsidRPr="00B169B3">
              <w:rPr>
                <w:sz w:val="18"/>
                <w:szCs w:val="18"/>
                <w:lang w:val="en-US"/>
              </w:rPr>
              <w:t>.</w:t>
            </w:r>
          </w:p>
        </w:tc>
        <w:tc>
          <w:tcPr>
            <w:tcW w:w="71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412.3</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253</w:t>
            </w:r>
          </w:p>
        </w:tc>
        <w:tc>
          <w:tcPr>
            <w:tcW w:w="87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1.63</w:t>
            </w:r>
          </w:p>
        </w:tc>
        <w:tc>
          <w:tcPr>
            <w:tcW w:w="801"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651.5</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253</w:t>
            </w:r>
          </w:p>
        </w:tc>
        <w:tc>
          <w:tcPr>
            <w:tcW w:w="882"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2.58</w:t>
            </w:r>
          </w:p>
        </w:tc>
        <w:tc>
          <w:tcPr>
            <w:tcW w:w="96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1063.8</w:t>
            </w:r>
          </w:p>
        </w:tc>
        <w:tc>
          <w:tcPr>
            <w:tcW w:w="90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4.20</w:t>
            </w:r>
          </w:p>
        </w:tc>
      </w:tr>
      <w:tr w:rsidR="00B169B3" w:rsidRPr="00B169B3" w:rsidTr="00BF05E4">
        <w:trPr>
          <w:gridAfter w:val="1"/>
          <w:wAfter w:w="43" w:type="dxa"/>
          <w:trHeight w:val="300"/>
        </w:trPr>
        <w:tc>
          <w:tcPr>
            <w:tcW w:w="47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4</w:t>
            </w:r>
          </w:p>
        </w:tc>
        <w:tc>
          <w:tcPr>
            <w:tcW w:w="2429" w:type="dxa"/>
            <w:tcBorders>
              <w:top w:val="nil"/>
              <w:left w:val="nil"/>
              <w:bottom w:val="single" w:sz="4" w:space="0" w:color="auto"/>
              <w:right w:val="nil"/>
            </w:tcBorders>
            <w:shd w:val="clear" w:color="auto" w:fill="auto"/>
            <w:vAlign w:val="bottom"/>
            <w:hideMark/>
          </w:tcPr>
          <w:p w:rsidR="00B169B3" w:rsidRPr="00B169B3" w:rsidRDefault="00B169B3" w:rsidP="00B169B3">
            <w:pPr>
              <w:rPr>
                <w:sz w:val="18"/>
                <w:szCs w:val="18"/>
                <w:lang w:val="en-US"/>
              </w:rPr>
            </w:pPr>
            <w:proofErr w:type="spellStart"/>
            <w:r w:rsidRPr="00B169B3">
              <w:rPr>
                <w:sz w:val="18"/>
                <w:szCs w:val="18"/>
                <w:lang w:val="en-US"/>
              </w:rPr>
              <w:t>Kulių</w:t>
            </w:r>
            <w:proofErr w:type="spellEnd"/>
            <w:r w:rsidRPr="00B169B3">
              <w:rPr>
                <w:sz w:val="18"/>
                <w:szCs w:val="18"/>
                <w:lang w:val="en-US"/>
              </w:rPr>
              <w:t xml:space="preserve"> </w:t>
            </w:r>
            <w:proofErr w:type="spellStart"/>
            <w:r w:rsidRPr="00B169B3">
              <w:rPr>
                <w:sz w:val="18"/>
                <w:szCs w:val="18"/>
                <w:lang w:val="en-US"/>
              </w:rPr>
              <w:t>gimnazija</w:t>
            </w:r>
            <w:proofErr w:type="spellEnd"/>
          </w:p>
        </w:tc>
        <w:tc>
          <w:tcPr>
            <w:tcW w:w="71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266.0</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223</w:t>
            </w:r>
          </w:p>
        </w:tc>
        <w:tc>
          <w:tcPr>
            <w:tcW w:w="87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1.19</w:t>
            </w:r>
          </w:p>
        </w:tc>
        <w:tc>
          <w:tcPr>
            <w:tcW w:w="801"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569.6</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223</w:t>
            </w:r>
          </w:p>
        </w:tc>
        <w:tc>
          <w:tcPr>
            <w:tcW w:w="882"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2.55</w:t>
            </w:r>
          </w:p>
        </w:tc>
        <w:tc>
          <w:tcPr>
            <w:tcW w:w="96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835.6</w:t>
            </w:r>
          </w:p>
        </w:tc>
        <w:tc>
          <w:tcPr>
            <w:tcW w:w="90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3.75</w:t>
            </w:r>
          </w:p>
        </w:tc>
      </w:tr>
      <w:tr w:rsidR="00B169B3" w:rsidRPr="00B169B3" w:rsidTr="00BF05E4">
        <w:trPr>
          <w:gridAfter w:val="1"/>
          <w:wAfter w:w="43" w:type="dxa"/>
          <w:trHeight w:val="300"/>
        </w:trPr>
        <w:tc>
          <w:tcPr>
            <w:tcW w:w="47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5</w:t>
            </w:r>
          </w:p>
        </w:tc>
        <w:tc>
          <w:tcPr>
            <w:tcW w:w="2429" w:type="dxa"/>
            <w:tcBorders>
              <w:top w:val="nil"/>
              <w:left w:val="nil"/>
              <w:bottom w:val="single" w:sz="4" w:space="0" w:color="auto"/>
              <w:right w:val="nil"/>
            </w:tcBorders>
            <w:shd w:val="clear" w:color="auto" w:fill="auto"/>
            <w:vAlign w:val="bottom"/>
            <w:hideMark/>
          </w:tcPr>
          <w:p w:rsidR="00B169B3" w:rsidRPr="00B169B3" w:rsidRDefault="00B169B3" w:rsidP="00B169B3">
            <w:pPr>
              <w:rPr>
                <w:sz w:val="18"/>
                <w:szCs w:val="18"/>
                <w:lang w:val="en-US"/>
              </w:rPr>
            </w:pPr>
            <w:proofErr w:type="spellStart"/>
            <w:r w:rsidRPr="00B169B3">
              <w:rPr>
                <w:sz w:val="18"/>
                <w:szCs w:val="18"/>
                <w:lang w:val="en-US"/>
              </w:rPr>
              <w:t>Ž</w:t>
            </w:r>
            <w:r w:rsidR="000326FC">
              <w:rPr>
                <w:sz w:val="18"/>
                <w:szCs w:val="18"/>
                <w:lang w:val="en-US"/>
              </w:rPr>
              <w:t>emaičių</w:t>
            </w:r>
            <w:proofErr w:type="spellEnd"/>
            <w:r w:rsidR="000326FC">
              <w:rPr>
                <w:sz w:val="18"/>
                <w:szCs w:val="18"/>
                <w:lang w:val="en-US"/>
              </w:rPr>
              <w:t xml:space="preserve"> </w:t>
            </w:r>
            <w:proofErr w:type="spellStart"/>
            <w:r w:rsidRPr="00B169B3">
              <w:rPr>
                <w:sz w:val="18"/>
                <w:szCs w:val="18"/>
                <w:lang w:val="en-US"/>
              </w:rPr>
              <w:t>Kalvarijos</w:t>
            </w:r>
            <w:proofErr w:type="spellEnd"/>
            <w:r w:rsidRPr="00B169B3">
              <w:rPr>
                <w:sz w:val="18"/>
                <w:szCs w:val="18"/>
                <w:lang w:val="en-US"/>
              </w:rPr>
              <w:t xml:space="preserve"> </w:t>
            </w:r>
            <w:proofErr w:type="spellStart"/>
            <w:r w:rsidRPr="00B169B3">
              <w:rPr>
                <w:sz w:val="18"/>
                <w:szCs w:val="18"/>
                <w:lang w:val="en-US"/>
              </w:rPr>
              <w:t>M</w:t>
            </w:r>
            <w:r w:rsidR="000326FC">
              <w:rPr>
                <w:sz w:val="18"/>
                <w:szCs w:val="18"/>
                <w:lang w:val="en-US"/>
              </w:rPr>
              <w:t>otiejaus</w:t>
            </w:r>
            <w:proofErr w:type="spellEnd"/>
            <w:r w:rsidR="000326FC">
              <w:rPr>
                <w:sz w:val="18"/>
                <w:szCs w:val="18"/>
                <w:lang w:val="en-US"/>
              </w:rPr>
              <w:t xml:space="preserve"> </w:t>
            </w:r>
            <w:proofErr w:type="spellStart"/>
            <w:r w:rsidRPr="00B169B3">
              <w:rPr>
                <w:sz w:val="18"/>
                <w:szCs w:val="18"/>
                <w:lang w:val="en-US"/>
              </w:rPr>
              <w:t>Valančiaus</w:t>
            </w:r>
            <w:proofErr w:type="spellEnd"/>
            <w:r w:rsidRPr="00B169B3">
              <w:rPr>
                <w:sz w:val="18"/>
                <w:szCs w:val="18"/>
                <w:lang w:val="en-US"/>
              </w:rPr>
              <w:t xml:space="preserve"> </w:t>
            </w:r>
            <w:proofErr w:type="spellStart"/>
            <w:r w:rsidRPr="00B169B3">
              <w:rPr>
                <w:sz w:val="18"/>
                <w:szCs w:val="18"/>
                <w:lang w:val="en-US"/>
              </w:rPr>
              <w:t>gimn</w:t>
            </w:r>
            <w:proofErr w:type="spellEnd"/>
            <w:r w:rsidRPr="00B169B3">
              <w:rPr>
                <w:sz w:val="18"/>
                <w:szCs w:val="18"/>
                <w:lang w:val="en-US"/>
              </w:rPr>
              <w:t>.</w:t>
            </w:r>
          </w:p>
        </w:tc>
        <w:tc>
          <w:tcPr>
            <w:tcW w:w="71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254.2</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220</w:t>
            </w:r>
          </w:p>
        </w:tc>
        <w:tc>
          <w:tcPr>
            <w:tcW w:w="87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1.16</w:t>
            </w:r>
          </w:p>
        </w:tc>
        <w:tc>
          <w:tcPr>
            <w:tcW w:w="801"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558.4</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220</w:t>
            </w:r>
          </w:p>
        </w:tc>
        <w:tc>
          <w:tcPr>
            <w:tcW w:w="882"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2.54</w:t>
            </w:r>
          </w:p>
        </w:tc>
        <w:tc>
          <w:tcPr>
            <w:tcW w:w="96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812.6</w:t>
            </w:r>
          </w:p>
        </w:tc>
        <w:tc>
          <w:tcPr>
            <w:tcW w:w="90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3.69</w:t>
            </w:r>
          </w:p>
        </w:tc>
      </w:tr>
      <w:tr w:rsidR="00B169B3" w:rsidRPr="00B169B3" w:rsidTr="00BF05E4">
        <w:trPr>
          <w:gridAfter w:val="1"/>
          <w:wAfter w:w="43" w:type="dxa"/>
          <w:trHeight w:val="300"/>
        </w:trPr>
        <w:tc>
          <w:tcPr>
            <w:tcW w:w="47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6</w:t>
            </w:r>
          </w:p>
        </w:tc>
        <w:tc>
          <w:tcPr>
            <w:tcW w:w="2429" w:type="dxa"/>
            <w:tcBorders>
              <w:top w:val="nil"/>
              <w:left w:val="nil"/>
              <w:bottom w:val="single" w:sz="4" w:space="0" w:color="auto"/>
              <w:right w:val="nil"/>
            </w:tcBorders>
            <w:shd w:val="clear" w:color="auto" w:fill="auto"/>
            <w:vAlign w:val="bottom"/>
            <w:hideMark/>
          </w:tcPr>
          <w:p w:rsidR="00B169B3" w:rsidRPr="00B169B3" w:rsidRDefault="00B169B3" w:rsidP="00B169B3">
            <w:pPr>
              <w:rPr>
                <w:sz w:val="18"/>
                <w:szCs w:val="18"/>
                <w:lang w:val="en-US"/>
              </w:rPr>
            </w:pPr>
            <w:r w:rsidRPr="00B169B3">
              <w:rPr>
                <w:sz w:val="18"/>
                <w:szCs w:val="18"/>
                <w:lang w:val="en-US"/>
              </w:rPr>
              <w:t>"</w:t>
            </w:r>
            <w:proofErr w:type="spellStart"/>
            <w:r w:rsidRPr="00B169B3">
              <w:rPr>
                <w:sz w:val="18"/>
                <w:szCs w:val="18"/>
                <w:lang w:val="en-US"/>
              </w:rPr>
              <w:t>Ryto"pagrindinė</w:t>
            </w:r>
            <w:proofErr w:type="spellEnd"/>
            <w:r w:rsidRPr="00B169B3">
              <w:rPr>
                <w:sz w:val="18"/>
                <w:szCs w:val="18"/>
                <w:lang w:val="en-US"/>
              </w:rPr>
              <w:t xml:space="preserve"> </w:t>
            </w:r>
            <w:proofErr w:type="spellStart"/>
            <w:r w:rsidRPr="00B169B3">
              <w:rPr>
                <w:sz w:val="18"/>
                <w:szCs w:val="18"/>
                <w:lang w:val="en-US"/>
              </w:rPr>
              <w:t>mokykla</w:t>
            </w:r>
            <w:proofErr w:type="spellEnd"/>
          </w:p>
        </w:tc>
        <w:tc>
          <w:tcPr>
            <w:tcW w:w="71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306.3</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793</w:t>
            </w:r>
          </w:p>
        </w:tc>
        <w:tc>
          <w:tcPr>
            <w:tcW w:w="87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0.39</w:t>
            </w:r>
          </w:p>
        </w:tc>
        <w:tc>
          <w:tcPr>
            <w:tcW w:w="801"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1305.5</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793</w:t>
            </w:r>
          </w:p>
        </w:tc>
        <w:tc>
          <w:tcPr>
            <w:tcW w:w="882"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1.65</w:t>
            </w:r>
          </w:p>
        </w:tc>
        <w:tc>
          <w:tcPr>
            <w:tcW w:w="96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1611.8</w:t>
            </w:r>
          </w:p>
        </w:tc>
        <w:tc>
          <w:tcPr>
            <w:tcW w:w="90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2.03</w:t>
            </w:r>
          </w:p>
        </w:tc>
      </w:tr>
      <w:tr w:rsidR="00B169B3" w:rsidRPr="00B169B3" w:rsidTr="00BF05E4">
        <w:trPr>
          <w:gridAfter w:val="1"/>
          <w:wAfter w:w="43" w:type="dxa"/>
          <w:trHeight w:val="810"/>
        </w:trPr>
        <w:tc>
          <w:tcPr>
            <w:tcW w:w="4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7</w:t>
            </w:r>
          </w:p>
        </w:tc>
        <w:tc>
          <w:tcPr>
            <w:tcW w:w="2429" w:type="dxa"/>
            <w:tcBorders>
              <w:top w:val="single" w:sz="4" w:space="0" w:color="auto"/>
              <w:left w:val="nil"/>
              <w:bottom w:val="single" w:sz="4" w:space="0" w:color="auto"/>
              <w:right w:val="nil"/>
            </w:tcBorders>
            <w:shd w:val="clear" w:color="auto" w:fill="auto"/>
            <w:vAlign w:val="bottom"/>
            <w:hideMark/>
          </w:tcPr>
          <w:p w:rsidR="00B169B3" w:rsidRPr="00B169B3" w:rsidRDefault="00B169B3" w:rsidP="00B169B3">
            <w:pPr>
              <w:rPr>
                <w:sz w:val="18"/>
                <w:szCs w:val="18"/>
                <w:lang w:val="en-US"/>
              </w:rPr>
            </w:pPr>
            <w:proofErr w:type="spellStart"/>
            <w:r w:rsidRPr="00B169B3">
              <w:rPr>
                <w:sz w:val="18"/>
                <w:szCs w:val="18"/>
                <w:lang w:val="en-US"/>
              </w:rPr>
              <w:t>Akademiko</w:t>
            </w:r>
            <w:proofErr w:type="spellEnd"/>
            <w:r w:rsidRPr="00B169B3">
              <w:rPr>
                <w:sz w:val="18"/>
                <w:szCs w:val="18"/>
                <w:lang w:val="en-US"/>
              </w:rPr>
              <w:t xml:space="preserve"> A</w:t>
            </w:r>
            <w:r w:rsidR="000326FC">
              <w:rPr>
                <w:sz w:val="18"/>
                <w:szCs w:val="18"/>
                <w:lang w:val="en-US"/>
              </w:rPr>
              <w:t xml:space="preserve">dolfo </w:t>
            </w:r>
            <w:proofErr w:type="spellStart"/>
            <w:r w:rsidRPr="00B169B3">
              <w:rPr>
                <w:sz w:val="18"/>
                <w:szCs w:val="18"/>
                <w:lang w:val="en-US"/>
              </w:rPr>
              <w:t>Jucio</w:t>
            </w:r>
            <w:proofErr w:type="spellEnd"/>
            <w:r w:rsidRPr="00B169B3">
              <w:rPr>
                <w:sz w:val="18"/>
                <w:szCs w:val="18"/>
                <w:lang w:val="en-US"/>
              </w:rPr>
              <w:t xml:space="preserve"> </w:t>
            </w:r>
            <w:proofErr w:type="spellStart"/>
            <w:r w:rsidRPr="00B169B3">
              <w:rPr>
                <w:sz w:val="18"/>
                <w:szCs w:val="18"/>
                <w:lang w:val="en-US"/>
              </w:rPr>
              <w:t>progimnazija</w:t>
            </w:r>
            <w:proofErr w:type="spellEnd"/>
            <w:r w:rsidRPr="00B169B3">
              <w:rPr>
                <w:sz w:val="18"/>
                <w:szCs w:val="18"/>
                <w:lang w:val="en-US"/>
              </w:rPr>
              <w:t xml:space="preserve"> (</w:t>
            </w:r>
            <w:proofErr w:type="spellStart"/>
            <w:r w:rsidRPr="00B169B3">
              <w:rPr>
                <w:sz w:val="18"/>
                <w:szCs w:val="18"/>
                <w:lang w:val="en-US"/>
              </w:rPr>
              <w:t>nuo</w:t>
            </w:r>
            <w:proofErr w:type="spellEnd"/>
            <w:r w:rsidRPr="00B169B3">
              <w:rPr>
                <w:sz w:val="18"/>
                <w:szCs w:val="18"/>
                <w:lang w:val="en-US"/>
              </w:rPr>
              <w:t xml:space="preserve"> </w:t>
            </w:r>
            <w:proofErr w:type="spellStart"/>
            <w:r w:rsidRPr="00B169B3">
              <w:rPr>
                <w:sz w:val="18"/>
                <w:szCs w:val="18"/>
                <w:lang w:val="en-US"/>
              </w:rPr>
              <w:t>rugsėjo</w:t>
            </w:r>
            <w:proofErr w:type="spellEnd"/>
            <w:r w:rsidRPr="00B169B3">
              <w:rPr>
                <w:sz w:val="18"/>
                <w:szCs w:val="18"/>
                <w:lang w:val="en-US"/>
              </w:rPr>
              <w:t xml:space="preserve"> 1 d. </w:t>
            </w:r>
            <w:proofErr w:type="spellStart"/>
            <w:r w:rsidRPr="00B169B3">
              <w:rPr>
                <w:sz w:val="18"/>
                <w:szCs w:val="18"/>
                <w:lang w:val="en-US"/>
              </w:rPr>
              <w:t>prijungta</w:t>
            </w:r>
            <w:proofErr w:type="spellEnd"/>
            <w:r w:rsidRPr="00B169B3">
              <w:rPr>
                <w:sz w:val="18"/>
                <w:szCs w:val="18"/>
                <w:lang w:val="en-US"/>
              </w:rPr>
              <w:t xml:space="preserve"> </w:t>
            </w:r>
            <w:proofErr w:type="spellStart"/>
            <w:r w:rsidRPr="00B169B3">
              <w:rPr>
                <w:sz w:val="18"/>
                <w:szCs w:val="18"/>
                <w:lang w:val="en-US"/>
              </w:rPr>
              <w:t>Vysk</w:t>
            </w:r>
            <w:proofErr w:type="spellEnd"/>
            <w:r w:rsidRPr="00B169B3">
              <w:rPr>
                <w:sz w:val="18"/>
                <w:szCs w:val="18"/>
                <w:lang w:val="en-US"/>
              </w:rPr>
              <w:t xml:space="preserve">. </w:t>
            </w:r>
            <w:proofErr w:type="spellStart"/>
            <w:r w:rsidRPr="00B169B3">
              <w:rPr>
                <w:sz w:val="18"/>
                <w:szCs w:val="18"/>
                <w:lang w:val="en-US"/>
              </w:rPr>
              <w:t>M</w:t>
            </w:r>
            <w:r w:rsidR="000326FC">
              <w:rPr>
                <w:sz w:val="18"/>
                <w:szCs w:val="18"/>
                <w:lang w:val="en-US"/>
              </w:rPr>
              <w:t>otiejaus</w:t>
            </w:r>
            <w:r w:rsidRPr="00B169B3">
              <w:rPr>
                <w:sz w:val="18"/>
                <w:szCs w:val="18"/>
                <w:lang w:val="en-US"/>
              </w:rPr>
              <w:t>Valančiaus</w:t>
            </w:r>
            <w:proofErr w:type="spellEnd"/>
            <w:r w:rsidRPr="00B169B3">
              <w:rPr>
                <w:sz w:val="18"/>
                <w:szCs w:val="18"/>
                <w:lang w:val="en-US"/>
              </w:rPr>
              <w:t xml:space="preserve"> </w:t>
            </w:r>
            <w:proofErr w:type="spellStart"/>
            <w:r w:rsidRPr="00B169B3">
              <w:rPr>
                <w:sz w:val="18"/>
                <w:szCs w:val="18"/>
                <w:lang w:val="en-US"/>
              </w:rPr>
              <w:t>pradinė</w:t>
            </w:r>
            <w:proofErr w:type="spellEnd"/>
            <w:r w:rsidRPr="00B169B3">
              <w:rPr>
                <w:sz w:val="18"/>
                <w:szCs w:val="18"/>
                <w:lang w:val="en-US"/>
              </w:rPr>
              <w:t xml:space="preserve"> m.)</w:t>
            </w:r>
          </w:p>
        </w:tc>
        <w:tc>
          <w:tcPr>
            <w:tcW w:w="7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311.0</w:t>
            </w:r>
          </w:p>
        </w:tc>
        <w:tc>
          <w:tcPr>
            <w:tcW w:w="837" w:type="dxa"/>
            <w:tcBorders>
              <w:top w:val="single" w:sz="4" w:space="0" w:color="auto"/>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457</w:t>
            </w:r>
          </w:p>
        </w:tc>
        <w:tc>
          <w:tcPr>
            <w:tcW w:w="877" w:type="dxa"/>
            <w:tcBorders>
              <w:top w:val="single" w:sz="4" w:space="0" w:color="auto"/>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0.68</w:t>
            </w:r>
          </w:p>
        </w:tc>
        <w:tc>
          <w:tcPr>
            <w:tcW w:w="801" w:type="dxa"/>
            <w:tcBorders>
              <w:top w:val="single" w:sz="4" w:space="0" w:color="auto"/>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865.1</w:t>
            </w:r>
          </w:p>
        </w:tc>
        <w:tc>
          <w:tcPr>
            <w:tcW w:w="837" w:type="dxa"/>
            <w:tcBorders>
              <w:top w:val="single" w:sz="4" w:space="0" w:color="auto"/>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457</w:t>
            </w:r>
          </w:p>
        </w:tc>
        <w:tc>
          <w:tcPr>
            <w:tcW w:w="882" w:type="dxa"/>
            <w:tcBorders>
              <w:top w:val="single" w:sz="4" w:space="0" w:color="auto"/>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1.89</w:t>
            </w:r>
          </w:p>
        </w:tc>
        <w:tc>
          <w:tcPr>
            <w:tcW w:w="967" w:type="dxa"/>
            <w:tcBorders>
              <w:top w:val="single" w:sz="4" w:space="0" w:color="auto"/>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1176.1</w:t>
            </w:r>
          </w:p>
        </w:tc>
        <w:tc>
          <w:tcPr>
            <w:tcW w:w="907" w:type="dxa"/>
            <w:tcBorders>
              <w:top w:val="single" w:sz="4" w:space="0" w:color="auto"/>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2.57</w:t>
            </w:r>
          </w:p>
        </w:tc>
      </w:tr>
      <w:tr w:rsidR="00B169B3" w:rsidRPr="00B169B3" w:rsidTr="00BF05E4">
        <w:trPr>
          <w:gridAfter w:val="1"/>
          <w:wAfter w:w="43" w:type="dxa"/>
          <w:trHeight w:val="300"/>
        </w:trPr>
        <w:tc>
          <w:tcPr>
            <w:tcW w:w="47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8</w:t>
            </w:r>
          </w:p>
        </w:tc>
        <w:tc>
          <w:tcPr>
            <w:tcW w:w="2429" w:type="dxa"/>
            <w:tcBorders>
              <w:top w:val="nil"/>
              <w:left w:val="nil"/>
              <w:bottom w:val="single" w:sz="4" w:space="0" w:color="auto"/>
              <w:right w:val="nil"/>
            </w:tcBorders>
            <w:shd w:val="clear" w:color="auto" w:fill="auto"/>
            <w:vAlign w:val="bottom"/>
            <w:hideMark/>
          </w:tcPr>
          <w:p w:rsidR="00B169B3" w:rsidRPr="00B169B3" w:rsidRDefault="00B169B3" w:rsidP="00B169B3">
            <w:pPr>
              <w:rPr>
                <w:sz w:val="18"/>
                <w:szCs w:val="18"/>
                <w:lang w:val="en-US"/>
              </w:rPr>
            </w:pPr>
            <w:r w:rsidRPr="00B169B3">
              <w:rPr>
                <w:sz w:val="18"/>
                <w:szCs w:val="18"/>
                <w:lang w:val="en-US"/>
              </w:rPr>
              <w:t>"</w:t>
            </w:r>
            <w:proofErr w:type="spellStart"/>
            <w:r w:rsidRPr="00B169B3">
              <w:rPr>
                <w:sz w:val="18"/>
                <w:szCs w:val="18"/>
                <w:lang w:val="en-US"/>
              </w:rPr>
              <w:t>Babrungo</w:t>
            </w:r>
            <w:proofErr w:type="spellEnd"/>
            <w:r w:rsidRPr="00B169B3">
              <w:rPr>
                <w:sz w:val="18"/>
                <w:szCs w:val="18"/>
                <w:lang w:val="en-US"/>
              </w:rPr>
              <w:t xml:space="preserve">" </w:t>
            </w:r>
            <w:proofErr w:type="spellStart"/>
            <w:r w:rsidRPr="00B169B3">
              <w:rPr>
                <w:sz w:val="18"/>
                <w:szCs w:val="18"/>
                <w:lang w:val="en-US"/>
              </w:rPr>
              <w:t>progimnazija</w:t>
            </w:r>
            <w:proofErr w:type="spellEnd"/>
          </w:p>
        </w:tc>
        <w:tc>
          <w:tcPr>
            <w:tcW w:w="71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163.1</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163</w:t>
            </w:r>
          </w:p>
        </w:tc>
        <w:tc>
          <w:tcPr>
            <w:tcW w:w="87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1.00</w:t>
            </w:r>
          </w:p>
        </w:tc>
        <w:tc>
          <w:tcPr>
            <w:tcW w:w="801"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358.7</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163</w:t>
            </w:r>
          </w:p>
        </w:tc>
        <w:tc>
          <w:tcPr>
            <w:tcW w:w="882"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2.20</w:t>
            </w:r>
          </w:p>
        </w:tc>
        <w:tc>
          <w:tcPr>
            <w:tcW w:w="96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521.8</w:t>
            </w:r>
          </w:p>
        </w:tc>
        <w:tc>
          <w:tcPr>
            <w:tcW w:w="90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3.20</w:t>
            </w:r>
          </w:p>
        </w:tc>
      </w:tr>
      <w:tr w:rsidR="00B169B3" w:rsidRPr="00B169B3" w:rsidTr="00BF05E4">
        <w:trPr>
          <w:gridAfter w:val="1"/>
          <w:wAfter w:w="43" w:type="dxa"/>
          <w:trHeight w:val="300"/>
        </w:trPr>
        <w:tc>
          <w:tcPr>
            <w:tcW w:w="47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9</w:t>
            </w:r>
          </w:p>
        </w:tc>
        <w:tc>
          <w:tcPr>
            <w:tcW w:w="2429" w:type="dxa"/>
            <w:tcBorders>
              <w:top w:val="nil"/>
              <w:left w:val="nil"/>
              <w:bottom w:val="single" w:sz="4" w:space="0" w:color="auto"/>
              <w:right w:val="nil"/>
            </w:tcBorders>
            <w:shd w:val="clear" w:color="auto" w:fill="auto"/>
            <w:vAlign w:val="bottom"/>
            <w:hideMark/>
          </w:tcPr>
          <w:p w:rsidR="00B169B3" w:rsidRPr="00B169B3" w:rsidRDefault="00B169B3" w:rsidP="00B169B3">
            <w:pPr>
              <w:rPr>
                <w:sz w:val="18"/>
                <w:szCs w:val="18"/>
                <w:lang w:val="en-US"/>
              </w:rPr>
            </w:pPr>
            <w:proofErr w:type="spellStart"/>
            <w:r w:rsidRPr="00B169B3">
              <w:rPr>
                <w:sz w:val="18"/>
                <w:szCs w:val="18"/>
                <w:lang w:val="en-US"/>
              </w:rPr>
              <w:t>Lopšelis-darželis</w:t>
            </w:r>
            <w:proofErr w:type="spellEnd"/>
            <w:r w:rsidRPr="00B169B3">
              <w:rPr>
                <w:sz w:val="18"/>
                <w:szCs w:val="18"/>
                <w:lang w:val="en-US"/>
              </w:rPr>
              <w:t xml:space="preserve"> "</w:t>
            </w:r>
            <w:proofErr w:type="spellStart"/>
            <w:r w:rsidRPr="00B169B3">
              <w:rPr>
                <w:sz w:val="18"/>
                <w:szCs w:val="18"/>
                <w:lang w:val="en-US"/>
              </w:rPr>
              <w:t>Pasaka</w:t>
            </w:r>
            <w:proofErr w:type="spellEnd"/>
            <w:r w:rsidRPr="00B169B3">
              <w:rPr>
                <w:sz w:val="18"/>
                <w:szCs w:val="18"/>
                <w:lang w:val="en-US"/>
              </w:rPr>
              <w:t>"</w:t>
            </w:r>
          </w:p>
        </w:tc>
        <w:tc>
          <w:tcPr>
            <w:tcW w:w="71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470.3</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211</w:t>
            </w:r>
          </w:p>
        </w:tc>
        <w:tc>
          <w:tcPr>
            <w:tcW w:w="87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2.23</w:t>
            </w:r>
          </w:p>
        </w:tc>
        <w:tc>
          <w:tcPr>
            <w:tcW w:w="801"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463.9</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211</w:t>
            </w:r>
          </w:p>
        </w:tc>
        <w:tc>
          <w:tcPr>
            <w:tcW w:w="882"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2.20</w:t>
            </w:r>
          </w:p>
        </w:tc>
        <w:tc>
          <w:tcPr>
            <w:tcW w:w="96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934.2</w:t>
            </w:r>
          </w:p>
        </w:tc>
        <w:tc>
          <w:tcPr>
            <w:tcW w:w="90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4.43</w:t>
            </w:r>
          </w:p>
        </w:tc>
      </w:tr>
      <w:tr w:rsidR="00B169B3" w:rsidRPr="00B169B3" w:rsidTr="00BF05E4">
        <w:trPr>
          <w:gridAfter w:val="1"/>
          <w:wAfter w:w="43" w:type="dxa"/>
          <w:trHeight w:val="300"/>
        </w:trPr>
        <w:tc>
          <w:tcPr>
            <w:tcW w:w="47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10</w:t>
            </w:r>
          </w:p>
        </w:tc>
        <w:tc>
          <w:tcPr>
            <w:tcW w:w="2429" w:type="dxa"/>
            <w:tcBorders>
              <w:top w:val="nil"/>
              <w:left w:val="nil"/>
              <w:bottom w:val="single" w:sz="4" w:space="0" w:color="auto"/>
              <w:right w:val="nil"/>
            </w:tcBorders>
            <w:shd w:val="clear" w:color="auto" w:fill="auto"/>
            <w:vAlign w:val="bottom"/>
            <w:hideMark/>
          </w:tcPr>
          <w:p w:rsidR="00B169B3" w:rsidRPr="00B169B3" w:rsidRDefault="00B169B3" w:rsidP="00B169B3">
            <w:pPr>
              <w:rPr>
                <w:sz w:val="18"/>
                <w:szCs w:val="18"/>
                <w:lang w:val="en-US"/>
              </w:rPr>
            </w:pPr>
            <w:proofErr w:type="spellStart"/>
            <w:r w:rsidRPr="00B169B3">
              <w:rPr>
                <w:sz w:val="18"/>
                <w:szCs w:val="18"/>
                <w:lang w:val="en-US"/>
              </w:rPr>
              <w:t>Lopšelis-darželis</w:t>
            </w:r>
            <w:proofErr w:type="spellEnd"/>
            <w:r w:rsidRPr="00B169B3">
              <w:rPr>
                <w:sz w:val="18"/>
                <w:szCs w:val="18"/>
                <w:lang w:val="en-US"/>
              </w:rPr>
              <w:t xml:space="preserve"> "</w:t>
            </w:r>
            <w:proofErr w:type="spellStart"/>
            <w:r w:rsidRPr="00B169B3">
              <w:rPr>
                <w:sz w:val="18"/>
                <w:szCs w:val="18"/>
                <w:lang w:val="en-US"/>
              </w:rPr>
              <w:t>Vyturėlis</w:t>
            </w:r>
            <w:proofErr w:type="spellEnd"/>
            <w:r w:rsidRPr="00B169B3">
              <w:rPr>
                <w:sz w:val="18"/>
                <w:szCs w:val="18"/>
                <w:lang w:val="en-US"/>
              </w:rPr>
              <w:t>"</w:t>
            </w:r>
          </w:p>
        </w:tc>
        <w:tc>
          <w:tcPr>
            <w:tcW w:w="71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669.6</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314</w:t>
            </w:r>
          </w:p>
        </w:tc>
        <w:tc>
          <w:tcPr>
            <w:tcW w:w="87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2.13</w:t>
            </w:r>
          </w:p>
        </w:tc>
        <w:tc>
          <w:tcPr>
            <w:tcW w:w="801"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441.0</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314</w:t>
            </w:r>
          </w:p>
        </w:tc>
        <w:tc>
          <w:tcPr>
            <w:tcW w:w="882"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1.40</w:t>
            </w:r>
          </w:p>
        </w:tc>
        <w:tc>
          <w:tcPr>
            <w:tcW w:w="96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1110.6</w:t>
            </w:r>
          </w:p>
        </w:tc>
        <w:tc>
          <w:tcPr>
            <w:tcW w:w="90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3.54</w:t>
            </w:r>
          </w:p>
        </w:tc>
      </w:tr>
      <w:tr w:rsidR="00B169B3" w:rsidRPr="00B169B3" w:rsidTr="00BF05E4">
        <w:trPr>
          <w:gridAfter w:val="1"/>
          <w:wAfter w:w="43" w:type="dxa"/>
          <w:trHeight w:val="300"/>
        </w:trPr>
        <w:tc>
          <w:tcPr>
            <w:tcW w:w="47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11</w:t>
            </w:r>
          </w:p>
        </w:tc>
        <w:tc>
          <w:tcPr>
            <w:tcW w:w="2429" w:type="dxa"/>
            <w:tcBorders>
              <w:top w:val="nil"/>
              <w:left w:val="nil"/>
              <w:bottom w:val="single" w:sz="4" w:space="0" w:color="auto"/>
              <w:right w:val="nil"/>
            </w:tcBorders>
            <w:shd w:val="clear" w:color="auto" w:fill="auto"/>
            <w:vAlign w:val="bottom"/>
            <w:hideMark/>
          </w:tcPr>
          <w:p w:rsidR="00B169B3" w:rsidRPr="00B169B3" w:rsidRDefault="00B169B3" w:rsidP="00B169B3">
            <w:pPr>
              <w:rPr>
                <w:sz w:val="18"/>
                <w:szCs w:val="18"/>
                <w:lang w:val="en-US"/>
              </w:rPr>
            </w:pPr>
            <w:proofErr w:type="spellStart"/>
            <w:r w:rsidRPr="00B169B3">
              <w:rPr>
                <w:sz w:val="18"/>
                <w:szCs w:val="18"/>
                <w:lang w:val="en-US"/>
              </w:rPr>
              <w:t>Lopšelis-darželis</w:t>
            </w:r>
            <w:proofErr w:type="spellEnd"/>
            <w:r w:rsidRPr="00B169B3">
              <w:rPr>
                <w:sz w:val="18"/>
                <w:szCs w:val="18"/>
                <w:lang w:val="en-US"/>
              </w:rPr>
              <w:t xml:space="preserve"> "</w:t>
            </w:r>
            <w:proofErr w:type="spellStart"/>
            <w:r w:rsidRPr="00B169B3">
              <w:rPr>
                <w:sz w:val="18"/>
                <w:szCs w:val="18"/>
                <w:lang w:val="en-US"/>
              </w:rPr>
              <w:t>Rūtelė</w:t>
            </w:r>
            <w:proofErr w:type="spellEnd"/>
            <w:r w:rsidRPr="00B169B3">
              <w:rPr>
                <w:sz w:val="18"/>
                <w:szCs w:val="18"/>
                <w:lang w:val="en-US"/>
              </w:rPr>
              <w:t>"</w:t>
            </w:r>
          </w:p>
        </w:tc>
        <w:tc>
          <w:tcPr>
            <w:tcW w:w="71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437.5</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225</w:t>
            </w:r>
          </w:p>
        </w:tc>
        <w:tc>
          <w:tcPr>
            <w:tcW w:w="87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1.94</w:t>
            </w:r>
          </w:p>
        </w:tc>
        <w:tc>
          <w:tcPr>
            <w:tcW w:w="801"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344.4</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225</w:t>
            </w:r>
          </w:p>
        </w:tc>
        <w:tc>
          <w:tcPr>
            <w:tcW w:w="882"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1.53</w:t>
            </w:r>
          </w:p>
        </w:tc>
        <w:tc>
          <w:tcPr>
            <w:tcW w:w="96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781.9</w:t>
            </w:r>
          </w:p>
        </w:tc>
        <w:tc>
          <w:tcPr>
            <w:tcW w:w="90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3.48</w:t>
            </w:r>
          </w:p>
        </w:tc>
      </w:tr>
      <w:tr w:rsidR="00B169B3" w:rsidRPr="00B169B3" w:rsidTr="00BF05E4">
        <w:trPr>
          <w:gridAfter w:val="1"/>
          <w:wAfter w:w="43" w:type="dxa"/>
          <w:trHeight w:val="300"/>
        </w:trPr>
        <w:tc>
          <w:tcPr>
            <w:tcW w:w="47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12</w:t>
            </w:r>
          </w:p>
        </w:tc>
        <w:tc>
          <w:tcPr>
            <w:tcW w:w="2429" w:type="dxa"/>
            <w:tcBorders>
              <w:top w:val="nil"/>
              <w:left w:val="nil"/>
              <w:bottom w:val="single" w:sz="4" w:space="0" w:color="auto"/>
              <w:right w:val="nil"/>
            </w:tcBorders>
            <w:shd w:val="clear" w:color="auto" w:fill="auto"/>
            <w:vAlign w:val="bottom"/>
            <w:hideMark/>
          </w:tcPr>
          <w:p w:rsidR="00B169B3" w:rsidRPr="00B169B3" w:rsidRDefault="00B169B3" w:rsidP="00B169B3">
            <w:pPr>
              <w:rPr>
                <w:sz w:val="18"/>
                <w:szCs w:val="18"/>
                <w:lang w:val="en-US"/>
              </w:rPr>
            </w:pPr>
            <w:proofErr w:type="spellStart"/>
            <w:r w:rsidRPr="00B169B3">
              <w:rPr>
                <w:sz w:val="18"/>
                <w:szCs w:val="18"/>
                <w:lang w:val="en-US"/>
              </w:rPr>
              <w:t>Lopšelis-darželis</w:t>
            </w:r>
            <w:proofErr w:type="spellEnd"/>
            <w:r w:rsidRPr="00B169B3">
              <w:rPr>
                <w:sz w:val="18"/>
                <w:szCs w:val="18"/>
                <w:lang w:val="en-US"/>
              </w:rPr>
              <w:t xml:space="preserve"> "</w:t>
            </w:r>
            <w:proofErr w:type="spellStart"/>
            <w:r w:rsidRPr="00B169B3">
              <w:rPr>
                <w:sz w:val="18"/>
                <w:szCs w:val="18"/>
                <w:lang w:val="en-US"/>
              </w:rPr>
              <w:t>Saulutė</w:t>
            </w:r>
            <w:proofErr w:type="spellEnd"/>
            <w:r w:rsidRPr="00B169B3">
              <w:rPr>
                <w:sz w:val="18"/>
                <w:szCs w:val="18"/>
                <w:lang w:val="en-US"/>
              </w:rPr>
              <w:t>"</w:t>
            </w:r>
          </w:p>
        </w:tc>
        <w:tc>
          <w:tcPr>
            <w:tcW w:w="71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423.0</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226</w:t>
            </w:r>
          </w:p>
        </w:tc>
        <w:tc>
          <w:tcPr>
            <w:tcW w:w="87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1.87</w:t>
            </w:r>
          </w:p>
        </w:tc>
        <w:tc>
          <w:tcPr>
            <w:tcW w:w="801"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329.6</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226</w:t>
            </w:r>
          </w:p>
        </w:tc>
        <w:tc>
          <w:tcPr>
            <w:tcW w:w="882"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1.46</w:t>
            </w:r>
          </w:p>
        </w:tc>
        <w:tc>
          <w:tcPr>
            <w:tcW w:w="96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752.6</w:t>
            </w:r>
          </w:p>
        </w:tc>
        <w:tc>
          <w:tcPr>
            <w:tcW w:w="90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3.33</w:t>
            </w:r>
          </w:p>
        </w:tc>
      </w:tr>
      <w:tr w:rsidR="00B169B3" w:rsidRPr="00B169B3" w:rsidTr="00BF05E4">
        <w:trPr>
          <w:gridAfter w:val="1"/>
          <w:wAfter w:w="43" w:type="dxa"/>
          <w:trHeight w:val="585"/>
        </w:trPr>
        <w:tc>
          <w:tcPr>
            <w:tcW w:w="47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13</w:t>
            </w:r>
          </w:p>
        </w:tc>
        <w:tc>
          <w:tcPr>
            <w:tcW w:w="2429" w:type="dxa"/>
            <w:tcBorders>
              <w:top w:val="nil"/>
              <w:left w:val="nil"/>
              <w:bottom w:val="single" w:sz="4" w:space="0" w:color="auto"/>
              <w:right w:val="nil"/>
            </w:tcBorders>
            <w:shd w:val="clear" w:color="auto" w:fill="auto"/>
            <w:vAlign w:val="bottom"/>
            <w:hideMark/>
          </w:tcPr>
          <w:p w:rsidR="00B169B3" w:rsidRPr="00B169B3" w:rsidRDefault="00B169B3" w:rsidP="00B169B3">
            <w:pPr>
              <w:rPr>
                <w:sz w:val="18"/>
                <w:szCs w:val="18"/>
                <w:lang w:val="en-US"/>
              </w:rPr>
            </w:pPr>
            <w:proofErr w:type="spellStart"/>
            <w:r w:rsidRPr="00B169B3">
              <w:rPr>
                <w:sz w:val="18"/>
                <w:szCs w:val="18"/>
                <w:lang w:val="en-US"/>
              </w:rPr>
              <w:t>Lopšelis-darželis</w:t>
            </w:r>
            <w:proofErr w:type="spellEnd"/>
            <w:r w:rsidRPr="00B169B3">
              <w:rPr>
                <w:sz w:val="18"/>
                <w:szCs w:val="18"/>
                <w:lang w:val="en-US"/>
              </w:rPr>
              <w:t xml:space="preserve"> "</w:t>
            </w:r>
            <w:proofErr w:type="spellStart"/>
            <w:r w:rsidRPr="00B169B3">
              <w:rPr>
                <w:sz w:val="18"/>
                <w:szCs w:val="18"/>
                <w:lang w:val="en-US"/>
              </w:rPr>
              <w:t>Raudonkepuraitė</w:t>
            </w:r>
            <w:proofErr w:type="spellEnd"/>
            <w:r w:rsidRPr="00B169B3">
              <w:rPr>
                <w:sz w:val="18"/>
                <w:szCs w:val="18"/>
                <w:lang w:val="en-US"/>
              </w:rPr>
              <w:t>"</w:t>
            </w:r>
          </w:p>
        </w:tc>
        <w:tc>
          <w:tcPr>
            <w:tcW w:w="71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389.9</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202</w:t>
            </w:r>
          </w:p>
        </w:tc>
        <w:tc>
          <w:tcPr>
            <w:tcW w:w="87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1.93</w:t>
            </w:r>
          </w:p>
        </w:tc>
        <w:tc>
          <w:tcPr>
            <w:tcW w:w="801"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342.4</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202</w:t>
            </w:r>
          </w:p>
        </w:tc>
        <w:tc>
          <w:tcPr>
            <w:tcW w:w="882"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1.70</w:t>
            </w:r>
          </w:p>
        </w:tc>
        <w:tc>
          <w:tcPr>
            <w:tcW w:w="96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732.3</w:t>
            </w:r>
          </w:p>
        </w:tc>
        <w:tc>
          <w:tcPr>
            <w:tcW w:w="90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3.63</w:t>
            </w:r>
          </w:p>
        </w:tc>
      </w:tr>
      <w:tr w:rsidR="00B169B3" w:rsidRPr="00B169B3" w:rsidTr="00BF05E4">
        <w:trPr>
          <w:gridAfter w:val="1"/>
          <w:wAfter w:w="43" w:type="dxa"/>
          <w:trHeight w:val="990"/>
        </w:trPr>
        <w:tc>
          <w:tcPr>
            <w:tcW w:w="47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14</w:t>
            </w:r>
          </w:p>
        </w:tc>
        <w:tc>
          <w:tcPr>
            <w:tcW w:w="2429" w:type="dxa"/>
            <w:tcBorders>
              <w:top w:val="nil"/>
              <w:left w:val="nil"/>
              <w:bottom w:val="single" w:sz="4" w:space="0" w:color="auto"/>
              <w:right w:val="nil"/>
            </w:tcBorders>
            <w:shd w:val="clear" w:color="auto" w:fill="auto"/>
            <w:vAlign w:val="bottom"/>
            <w:hideMark/>
          </w:tcPr>
          <w:p w:rsidR="00B169B3" w:rsidRPr="00B169B3" w:rsidRDefault="00B169B3" w:rsidP="00B169B3">
            <w:pPr>
              <w:rPr>
                <w:sz w:val="18"/>
                <w:szCs w:val="18"/>
                <w:lang w:val="en-US"/>
              </w:rPr>
            </w:pPr>
            <w:proofErr w:type="spellStart"/>
            <w:r w:rsidRPr="00B169B3">
              <w:rPr>
                <w:sz w:val="18"/>
                <w:szCs w:val="18"/>
                <w:lang w:val="en-US"/>
              </w:rPr>
              <w:t>Lopšelis-darželis</w:t>
            </w:r>
            <w:proofErr w:type="spellEnd"/>
            <w:r w:rsidRPr="00B169B3">
              <w:rPr>
                <w:sz w:val="18"/>
                <w:szCs w:val="18"/>
                <w:lang w:val="en-US"/>
              </w:rPr>
              <w:t xml:space="preserve"> "</w:t>
            </w:r>
            <w:proofErr w:type="spellStart"/>
            <w:r w:rsidRPr="00B169B3">
              <w:rPr>
                <w:sz w:val="18"/>
                <w:szCs w:val="18"/>
                <w:lang w:val="en-US"/>
              </w:rPr>
              <w:t>Nykštukas</w:t>
            </w:r>
            <w:proofErr w:type="spellEnd"/>
            <w:r w:rsidRPr="00B169B3">
              <w:rPr>
                <w:sz w:val="18"/>
                <w:szCs w:val="18"/>
                <w:lang w:val="en-US"/>
              </w:rPr>
              <w:t>" (</w:t>
            </w:r>
            <w:proofErr w:type="spellStart"/>
            <w:r w:rsidRPr="00B169B3">
              <w:rPr>
                <w:sz w:val="18"/>
                <w:szCs w:val="18"/>
                <w:lang w:val="en-US"/>
              </w:rPr>
              <w:t>nuo</w:t>
            </w:r>
            <w:proofErr w:type="spellEnd"/>
            <w:r w:rsidRPr="00B169B3">
              <w:rPr>
                <w:sz w:val="18"/>
                <w:szCs w:val="18"/>
                <w:lang w:val="en-US"/>
              </w:rPr>
              <w:t xml:space="preserve"> </w:t>
            </w:r>
            <w:proofErr w:type="spellStart"/>
            <w:r w:rsidRPr="00B169B3">
              <w:rPr>
                <w:sz w:val="18"/>
                <w:szCs w:val="18"/>
                <w:lang w:val="en-US"/>
              </w:rPr>
              <w:t>rugsėjo</w:t>
            </w:r>
            <w:proofErr w:type="spellEnd"/>
            <w:r w:rsidRPr="00B169B3">
              <w:rPr>
                <w:sz w:val="18"/>
                <w:szCs w:val="18"/>
                <w:lang w:val="en-US"/>
              </w:rPr>
              <w:t xml:space="preserve"> 1 d. </w:t>
            </w:r>
            <w:proofErr w:type="spellStart"/>
            <w:r w:rsidRPr="00B169B3">
              <w:rPr>
                <w:sz w:val="18"/>
                <w:szCs w:val="18"/>
                <w:lang w:val="en-US"/>
              </w:rPr>
              <w:t>prijungtas</w:t>
            </w:r>
            <w:proofErr w:type="spellEnd"/>
            <w:r w:rsidRPr="00B169B3">
              <w:rPr>
                <w:sz w:val="18"/>
                <w:szCs w:val="18"/>
                <w:lang w:val="en-US"/>
              </w:rPr>
              <w:t xml:space="preserve"> </w:t>
            </w:r>
            <w:proofErr w:type="spellStart"/>
            <w:r w:rsidRPr="00B169B3">
              <w:rPr>
                <w:sz w:val="18"/>
                <w:szCs w:val="18"/>
                <w:lang w:val="en-US"/>
              </w:rPr>
              <w:t>Žlibinų</w:t>
            </w:r>
            <w:proofErr w:type="spellEnd"/>
            <w:r w:rsidRPr="00B169B3">
              <w:rPr>
                <w:sz w:val="18"/>
                <w:szCs w:val="18"/>
                <w:lang w:val="en-US"/>
              </w:rPr>
              <w:t xml:space="preserve"> </w:t>
            </w:r>
            <w:proofErr w:type="spellStart"/>
            <w:r w:rsidRPr="00B169B3">
              <w:rPr>
                <w:sz w:val="18"/>
                <w:szCs w:val="18"/>
                <w:lang w:val="en-US"/>
              </w:rPr>
              <w:t>kultūros</w:t>
            </w:r>
            <w:proofErr w:type="spellEnd"/>
            <w:r w:rsidRPr="00B169B3">
              <w:rPr>
                <w:sz w:val="18"/>
                <w:szCs w:val="18"/>
                <w:lang w:val="en-US"/>
              </w:rPr>
              <w:t xml:space="preserve"> </w:t>
            </w:r>
            <w:proofErr w:type="spellStart"/>
            <w:r w:rsidRPr="00B169B3">
              <w:rPr>
                <w:sz w:val="18"/>
                <w:szCs w:val="18"/>
                <w:lang w:val="en-US"/>
              </w:rPr>
              <w:t>centro</w:t>
            </w:r>
            <w:proofErr w:type="spellEnd"/>
            <w:r w:rsidRPr="00B169B3">
              <w:rPr>
                <w:sz w:val="18"/>
                <w:szCs w:val="18"/>
                <w:lang w:val="en-US"/>
              </w:rPr>
              <w:t xml:space="preserve"> </w:t>
            </w:r>
            <w:proofErr w:type="spellStart"/>
            <w:r w:rsidRPr="00B169B3">
              <w:rPr>
                <w:sz w:val="18"/>
                <w:szCs w:val="18"/>
                <w:lang w:val="en-US"/>
              </w:rPr>
              <w:t>Kantaučių</w:t>
            </w:r>
            <w:proofErr w:type="spellEnd"/>
            <w:r w:rsidRPr="00B169B3">
              <w:rPr>
                <w:sz w:val="18"/>
                <w:szCs w:val="18"/>
                <w:lang w:val="en-US"/>
              </w:rPr>
              <w:t xml:space="preserve"> skyrius)</w:t>
            </w:r>
          </w:p>
        </w:tc>
        <w:tc>
          <w:tcPr>
            <w:tcW w:w="71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301.7</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150</w:t>
            </w:r>
          </w:p>
        </w:tc>
        <w:tc>
          <w:tcPr>
            <w:tcW w:w="87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2.01</w:t>
            </w:r>
          </w:p>
        </w:tc>
        <w:tc>
          <w:tcPr>
            <w:tcW w:w="801"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270.9</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150</w:t>
            </w:r>
          </w:p>
        </w:tc>
        <w:tc>
          <w:tcPr>
            <w:tcW w:w="882"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1.81</w:t>
            </w:r>
          </w:p>
        </w:tc>
        <w:tc>
          <w:tcPr>
            <w:tcW w:w="96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572.6</w:t>
            </w:r>
          </w:p>
        </w:tc>
        <w:tc>
          <w:tcPr>
            <w:tcW w:w="90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3.82</w:t>
            </w:r>
          </w:p>
        </w:tc>
      </w:tr>
      <w:tr w:rsidR="00B169B3" w:rsidRPr="00B169B3" w:rsidTr="00BF05E4">
        <w:trPr>
          <w:gridAfter w:val="1"/>
          <w:wAfter w:w="43" w:type="dxa"/>
          <w:trHeight w:val="300"/>
        </w:trPr>
        <w:tc>
          <w:tcPr>
            <w:tcW w:w="47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15</w:t>
            </w:r>
          </w:p>
        </w:tc>
        <w:tc>
          <w:tcPr>
            <w:tcW w:w="2429" w:type="dxa"/>
            <w:tcBorders>
              <w:top w:val="nil"/>
              <w:left w:val="nil"/>
              <w:bottom w:val="single" w:sz="4" w:space="0" w:color="auto"/>
              <w:right w:val="nil"/>
            </w:tcBorders>
            <w:shd w:val="clear" w:color="auto" w:fill="auto"/>
            <w:vAlign w:val="bottom"/>
            <w:hideMark/>
          </w:tcPr>
          <w:p w:rsidR="00B169B3" w:rsidRPr="00B169B3" w:rsidRDefault="00B169B3" w:rsidP="00B169B3">
            <w:pPr>
              <w:rPr>
                <w:sz w:val="18"/>
                <w:szCs w:val="18"/>
                <w:lang w:val="en-US"/>
              </w:rPr>
            </w:pPr>
            <w:r w:rsidRPr="00B169B3">
              <w:rPr>
                <w:sz w:val="18"/>
                <w:szCs w:val="18"/>
                <w:lang w:val="en-US"/>
              </w:rPr>
              <w:t xml:space="preserve">Sporto </w:t>
            </w:r>
            <w:proofErr w:type="spellStart"/>
            <w:r w:rsidRPr="00B169B3">
              <w:rPr>
                <w:sz w:val="18"/>
                <w:szCs w:val="18"/>
                <w:lang w:val="en-US"/>
              </w:rPr>
              <w:t>ir</w:t>
            </w:r>
            <w:proofErr w:type="spellEnd"/>
            <w:r w:rsidRPr="00B169B3">
              <w:rPr>
                <w:sz w:val="18"/>
                <w:szCs w:val="18"/>
                <w:lang w:val="en-US"/>
              </w:rPr>
              <w:t xml:space="preserve"> </w:t>
            </w:r>
            <w:proofErr w:type="spellStart"/>
            <w:r w:rsidRPr="00B169B3">
              <w:rPr>
                <w:sz w:val="18"/>
                <w:szCs w:val="18"/>
                <w:lang w:val="en-US"/>
              </w:rPr>
              <w:t>rekreac</w:t>
            </w:r>
            <w:proofErr w:type="spellEnd"/>
            <w:r w:rsidRPr="00B169B3">
              <w:rPr>
                <w:sz w:val="18"/>
                <w:szCs w:val="18"/>
                <w:lang w:val="en-US"/>
              </w:rPr>
              <w:t>. centras</w:t>
            </w:r>
          </w:p>
        </w:tc>
        <w:tc>
          <w:tcPr>
            <w:tcW w:w="71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479.3</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467</w:t>
            </w:r>
          </w:p>
        </w:tc>
        <w:tc>
          <w:tcPr>
            <w:tcW w:w="87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1.03</w:t>
            </w:r>
          </w:p>
        </w:tc>
        <w:tc>
          <w:tcPr>
            <w:tcW w:w="801"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28.2</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467</w:t>
            </w:r>
          </w:p>
        </w:tc>
        <w:tc>
          <w:tcPr>
            <w:tcW w:w="882"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0.06</w:t>
            </w:r>
          </w:p>
        </w:tc>
        <w:tc>
          <w:tcPr>
            <w:tcW w:w="96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507.5</w:t>
            </w:r>
          </w:p>
        </w:tc>
        <w:tc>
          <w:tcPr>
            <w:tcW w:w="90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1.09</w:t>
            </w:r>
          </w:p>
        </w:tc>
      </w:tr>
      <w:tr w:rsidR="00B169B3" w:rsidRPr="00B169B3" w:rsidTr="00BF05E4">
        <w:trPr>
          <w:gridAfter w:val="1"/>
          <w:wAfter w:w="43" w:type="dxa"/>
          <w:trHeight w:val="300"/>
        </w:trPr>
        <w:tc>
          <w:tcPr>
            <w:tcW w:w="47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16</w:t>
            </w:r>
          </w:p>
        </w:tc>
        <w:tc>
          <w:tcPr>
            <w:tcW w:w="2429" w:type="dxa"/>
            <w:tcBorders>
              <w:top w:val="nil"/>
              <w:left w:val="nil"/>
              <w:bottom w:val="single" w:sz="4" w:space="0" w:color="auto"/>
              <w:right w:val="nil"/>
            </w:tcBorders>
            <w:shd w:val="clear" w:color="auto" w:fill="auto"/>
            <w:vAlign w:val="bottom"/>
            <w:hideMark/>
          </w:tcPr>
          <w:p w:rsidR="00B169B3" w:rsidRPr="00B169B3" w:rsidRDefault="00B169B3" w:rsidP="00B169B3">
            <w:pPr>
              <w:rPr>
                <w:sz w:val="18"/>
                <w:szCs w:val="18"/>
                <w:lang w:val="en-US"/>
              </w:rPr>
            </w:pPr>
            <w:proofErr w:type="spellStart"/>
            <w:r w:rsidRPr="00B169B3">
              <w:rPr>
                <w:sz w:val="18"/>
                <w:szCs w:val="18"/>
                <w:lang w:val="en-US"/>
              </w:rPr>
              <w:t>M.Oginskio</w:t>
            </w:r>
            <w:proofErr w:type="spellEnd"/>
            <w:r w:rsidRPr="00B169B3">
              <w:rPr>
                <w:sz w:val="18"/>
                <w:szCs w:val="18"/>
                <w:lang w:val="en-US"/>
              </w:rPr>
              <w:t xml:space="preserve"> </w:t>
            </w:r>
            <w:proofErr w:type="spellStart"/>
            <w:r w:rsidRPr="00B169B3">
              <w:rPr>
                <w:sz w:val="18"/>
                <w:szCs w:val="18"/>
                <w:lang w:val="en-US"/>
              </w:rPr>
              <w:t>meno</w:t>
            </w:r>
            <w:proofErr w:type="spellEnd"/>
            <w:r w:rsidRPr="00B169B3">
              <w:rPr>
                <w:sz w:val="18"/>
                <w:szCs w:val="18"/>
                <w:lang w:val="en-US"/>
              </w:rPr>
              <w:t xml:space="preserve"> </w:t>
            </w:r>
            <w:proofErr w:type="spellStart"/>
            <w:r w:rsidRPr="00B169B3">
              <w:rPr>
                <w:sz w:val="18"/>
                <w:szCs w:val="18"/>
                <w:lang w:val="en-US"/>
              </w:rPr>
              <w:t>mok</w:t>
            </w:r>
            <w:proofErr w:type="spellEnd"/>
            <w:r w:rsidRPr="00B169B3">
              <w:rPr>
                <w:sz w:val="18"/>
                <w:szCs w:val="18"/>
                <w:lang w:val="en-US"/>
              </w:rPr>
              <w:t>.</w:t>
            </w:r>
          </w:p>
        </w:tc>
        <w:tc>
          <w:tcPr>
            <w:tcW w:w="71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1046.0</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574</w:t>
            </w:r>
          </w:p>
        </w:tc>
        <w:tc>
          <w:tcPr>
            <w:tcW w:w="87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1.82</w:t>
            </w:r>
          </w:p>
        </w:tc>
        <w:tc>
          <w:tcPr>
            <w:tcW w:w="801"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39.4</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574</w:t>
            </w:r>
          </w:p>
        </w:tc>
        <w:tc>
          <w:tcPr>
            <w:tcW w:w="882"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0.07</w:t>
            </w:r>
          </w:p>
        </w:tc>
        <w:tc>
          <w:tcPr>
            <w:tcW w:w="96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1085.4</w:t>
            </w:r>
          </w:p>
        </w:tc>
        <w:tc>
          <w:tcPr>
            <w:tcW w:w="90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1.89</w:t>
            </w:r>
          </w:p>
        </w:tc>
      </w:tr>
      <w:tr w:rsidR="00B169B3" w:rsidRPr="00B169B3" w:rsidTr="00BF05E4">
        <w:trPr>
          <w:gridAfter w:val="1"/>
          <w:wAfter w:w="43" w:type="dxa"/>
          <w:trHeight w:val="300"/>
        </w:trPr>
        <w:tc>
          <w:tcPr>
            <w:tcW w:w="47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17</w:t>
            </w:r>
          </w:p>
        </w:tc>
        <w:tc>
          <w:tcPr>
            <w:tcW w:w="2429" w:type="dxa"/>
            <w:tcBorders>
              <w:top w:val="nil"/>
              <w:left w:val="nil"/>
              <w:bottom w:val="nil"/>
              <w:right w:val="nil"/>
            </w:tcBorders>
            <w:shd w:val="clear" w:color="auto" w:fill="auto"/>
            <w:vAlign w:val="bottom"/>
            <w:hideMark/>
          </w:tcPr>
          <w:p w:rsidR="00B169B3" w:rsidRPr="00B169B3" w:rsidRDefault="00B169B3" w:rsidP="00B169B3">
            <w:pPr>
              <w:rPr>
                <w:sz w:val="18"/>
                <w:szCs w:val="18"/>
                <w:lang w:val="en-US"/>
              </w:rPr>
            </w:pPr>
            <w:proofErr w:type="spellStart"/>
            <w:r w:rsidRPr="00B169B3">
              <w:rPr>
                <w:sz w:val="18"/>
                <w:szCs w:val="18"/>
                <w:lang w:val="en-US"/>
              </w:rPr>
              <w:t>Platelių</w:t>
            </w:r>
            <w:proofErr w:type="spellEnd"/>
            <w:r w:rsidRPr="00B169B3">
              <w:rPr>
                <w:sz w:val="18"/>
                <w:szCs w:val="18"/>
                <w:lang w:val="en-US"/>
              </w:rPr>
              <w:t xml:space="preserve"> </w:t>
            </w:r>
            <w:proofErr w:type="spellStart"/>
            <w:r w:rsidRPr="00B169B3">
              <w:rPr>
                <w:sz w:val="18"/>
                <w:szCs w:val="18"/>
                <w:lang w:val="en-US"/>
              </w:rPr>
              <w:t>meno</w:t>
            </w:r>
            <w:proofErr w:type="spellEnd"/>
            <w:r w:rsidRPr="00B169B3">
              <w:rPr>
                <w:sz w:val="18"/>
                <w:szCs w:val="18"/>
                <w:lang w:val="en-US"/>
              </w:rPr>
              <w:t xml:space="preserve"> </w:t>
            </w:r>
            <w:proofErr w:type="spellStart"/>
            <w:r w:rsidRPr="00B169B3">
              <w:rPr>
                <w:sz w:val="18"/>
                <w:szCs w:val="18"/>
                <w:lang w:val="en-US"/>
              </w:rPr>
              <w:t>mokykla</w:t>
            </w:r>
            <w:proofErr w:type="spellEnd"/>
          </w:p>
        </w:tc>
        <w:tc>
          <w:tcPr>
            <w:tcW w:w="71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303.7</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189</w:t>
            </w:r>
          </w:p>
        </w:tc>
        <w:tc>
          <w:tcPr>
            <w:tcW w:w="87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1.61</w:t>
            </w:r>
          </w:p>
        </w:tc>
        <w:tc>
          <w:tcPr>
            <w:tcW w:w="801"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13.6</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189</w:t>
            </w:r>
          </w:p>
        </w:tc>
        <w:tc>
          <w:tcPr>
            <w:tcW w:w="882"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0.07</w:t>
            </w:r>
          </w:p>
        </w:tc>
        <w:tc>
          <w:tcPr>
            <w:tcW w:w="96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317.3</w:t>
            </w:r>
          </w:p>
        </w:tc>
        <w:tc>
          <w:tcPr>
            <w:tcW w:w="90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1.68</w:t>
            </w:r>
          </w:p>
        </w:tc>
      </w:tr>
      <w:tr w:rsidR="00B169B3" w:rsidRPr="00B169B3" w:rsidTr="00BF05E4">
        <w:trPr>
          <w:gridAfter w:val="1"/>
          <w:wAfter w:w="43" w:type="dxa"/>
          <w:trHeight w:val="300"/>
        </w:trPr>
        <w:tc>
          <w:tcPr>
            <w:tcW w:w="47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18</w:t>
            </w:r>
          </w:p>
        </w:tc>
        <w:tc>
          <w:tcPr>
            <w:tcW w:w="2429" w:type="dxa"/>
            <w:tcBorders>
              <w:top w:val="single" w:sz="4" w:space="0" w:color="auto"/>
              <w:left w:val="nil"/>
              <w:bottom w:val="nil"/>
              <w:right w:val="nil"/>
            </w:tcBorders>
            <w:shd w:val="clear" w:color="auto" w:fill="auto"/>
            <w:vAlign w:val="bottom"/>
            <w:hideMark/>
          </w:tcPr>
          <w:p w:rsidR="00B169B3" w:rsidRPr="00B169B3" w:rsidRDefault="00B169B3" w:rsidP="00B169B3">
            <w:pPr>
              <w:rPr>
                <w:sz w:val="18"/>
                <w:szCs w:val="18"/>
                <w:lang w:val="en-US"/>
              </w:rPr>
            </w:pPr>
            <w:proofErr w:type="spellStart"/>
            <w:r w:rsidRPr="00B169B3">
              <w:rPr>
                <w:sz w:val="18"/>
                <w:szCs w:val="18"/>
                <w:lang w:val="en-US"/>
              </w:rPr>
              <w:t>Specialiojo</w:t>
            </w:r>
            <w:proofErr w:type="spellEnd"/>
            <w:r w:rsidRPr="00B169B3">
              <w:rPr>
                <w:sz w:val="18"/>
                <w:szCs w:val="18"/>
                <w:lang w:val="en-US"/>
              </w:rPr>
              <w:t xml:space="preserve"> </w:t>
            </w:r>
            <w:proofErr w:type="spellStart"/>
            <w:r w:rsidRPr="00B169B3">
              <w:rPr>
                <w:sz w:val="18"/>
                <w:szCs w:val="18"/>
                <w:lang w:val="en-US"/>
              </w:rPr>
              <w:t>ugdymo</w:t>
            </w:r>
            <w:proofErr w:type="spellEnd"/>
            <w:r w:rsidRPr="00B169B3">
              <w:rPr>
                <w:sz w:val="18"/>
                <w:szCs w:val="18"/>
                <w:lang w:val="en-US"/>
              </w:rPr>
              <w:t xml:space="preserve"> centras</w:t>
            </w:r>
          </w:p>
        </w:tc>
        <w:tc>
          <w:tcPr>
            <w:tcW w:w="71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565.5</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82</w:t>
            </w:r>
          </w:p>
        </w:tc>
        <w:tc>
          <w:tcPr>
            <w:tcW w:w="87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6.90</w:t>
            </w:r>
          </w:p>
        </w:tc>
        <w:tc>
          <w:tcPr>
            <w:tcW w:w="801"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443.5</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82</w:t>
            </w:r>
          </w:p>
        </w:tc>
        <w:tc>
          <w:tcPr>
            <w:tcW w:w="882"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5.41</w:t>
            </w:r>
          </w:p>
        </w:tc>
        <w:tc>
          <w:tcPr>
            <w:tcW w:w="96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1009.0</w:t>
            </w:r>
          </w:p>
        </w:tc>
        <w:tc>
          <w:tcPr>
            <w:tcW w:w="90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12.30</w:t>
            </w:r>
          </w:p>
        </w:tc>
      </w:tr>
      <w:tr w:rsidR="00B169B3" w:rsidRPr="00B169B3" w:rsidTr="00BF05E4">
        <w:trPr>
          <w:gridAfter w:val="1"/>
          <w:wAfter w:w="43" w:type="dxa"/>
          <w:trHeight w:val="750"/>
        </w:trPr>
        <w:tc>
          <w:tcPr>
            <w:tcW w:w="47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19</w:t>
            </w:r>
          </w:p>
        </w:tc>
        <w:tc>
          <w:tcPr>
            <w:tcW w:w="2429" w:type="dxa"/>
            <w:tcBorders>
              <w:top w:val="single" w:sz="4" w:space="0" w:color="auto"/>
              <w:left w:val="nil"/>
              <w:bottom w:val="single" w:sz="4" w:space="0" w:color="auto"/>
              <w:right w:val="nil"/>
            </w:tcBorders>
            <w:shd w:val="clear" w:color="auto" w:fill="auto"/>
            <w:vAlign w:val="bottom"/>
            <w:hideMark/>
          </w:tcPr>
          <w:p w:rsidR="00B169B3" w:rsidRPr="00B169B3" w:rsidRDefault="00B169B3" w:rsidP="00B169B3">
            <w:pPr>
              <w:rPr>
                <w:sz w:val="18"/>
                <w:szCs w:val="18"/>
                <w:lang w:val="en-US"/>
              </w:rPr>
            </w:pPr>
            <w:proofErr w:type="spellStart"/>
            <w:r w:rsidRPr="00B169B3">
              <w:rPr>
                <w:sz w:val="18"/>
                <w:szCs w:val="18"/>
                <w:lang w:val="en-US"/>
              </w:rPr>
              <w:t>Liepijų</w:t>
            </w:r>
            <w:proofErr w:type="spellEnd"/>
            <w:r w:rsidRPr="00B169B3">
              <w:rPr>
                <w:sz w:val="18"/>
                <w:szCs w:val="18"/>
                <w:lang w:val="en-US"/>
              </w:rPr>
              <w:t xml:space="preserve"> </w:t>
            </w:r>
            <w:proofErr w:type="spellStart"/>
            <w:r w:rsidRPr="00B169B3">
              <w:rPr>
                <w:sz w:val="18"/>
                <w:szCs w:val="18"/>
                <w:lang w:val="en-US"/>
              </w:rPr>
              <w:t>mokykla</w:t>
            </w:r>
            <w:proofErr w:type="spellEnd"/>
            <w:r w:rsidRPr="00B169B3">
              <w:rPr>
                <w:sz w:val="18"/>
                <w:szCs w:val="18"/>
                <w:lang w:val="en-US"/>
              </w:rPr>
              <w:t xml:space="preserve"> (</w:t>
            </w:r>
            <w:proofErr w:type="spellStart"/>
            <w:r w:rsidRPr="00B169B3">
              <w:rPr>
                <w:sz w:val="18"/>
                <w:szCs w:val="18"/>
                <w:lang w:val="en-US"/>
              </w:rPr>
              <w:t>iki</w:t>
            </w:r>
            <w:proofErr w:type="spellEnd"/>
            <w:r w:rsidRPr="00B169B3">
              <w:rPr>
                <w:sz w:val="18"/>
                <w:szCs w:val="18"/>
                <w:lang w:val="en-US"/>
              </w:rPr>
              <w:t xml:space="preserve"> </w:t>
            </w:r>
            <w:proofErr w:type="spellStart"/>
            <w:r w:rsidRPr="00B169B3">
              <w:rPr>
                <w:sz w:val="18"/>
                <w:szCs w:val="18"/>
                <w:lang w:val="en-US"/>
              </w:rPr>
              <w:t>rugsėjo</w:t>
            </w:r>
            <w:proofErr w:type="spellEnd"/>
            <w:r w:rsidRPr="00B169B3">
              <w:rPr>
                <w:sz w:val="18"/>
                <w:szCs w:val="18"/>
                <w:lang w:val="en-US"/>
              </w:rPr>
              <w:t xml:space="preserve"> 1 d. </w:t>
            </w:r>
            <w:proofErr w:type="spellStart"/>
            <w:r w:rsidRPr="00B169B3">
              <w:rPr>
                <w:sz w:val="18"/>
                <w:szCs w:val="18"/>
                <w:lang w:val="en-US"/>
              </w:rPr>
              <w:t>Šateikių</w:t>
            </w:r>
            <w:proofErr w:type="spellEnd"/>
            <w:r w:rsidRPr="00B169B3">
              <w:rPr>
                <w:sz w:val="18"/>
                <w:szCs w:val="18"/>
                <w:lang w:val="en-US"/>
              </w:rPr>
              <w:t xml:space="preserve"> </w:t>
            </w:r>
            <w:proofErr w:type="spellStart"/>
            <w:r w:rsidRPr="00B169B3">
              <w:rPr>
                <w:sz w:val="18"/>
                <w:szCs w:val="18"/>
                <w:lang w:val="en-US"/>
              </w:rPr>
              <w:t>pagr</w:t>
            </w:r>
            <w:proofErr w:type="spellEnd"/>
            <w:r w:rsidRPr="00B169B3">
              <w:rPr>
                <w:sz w:val="18"/>
                <w:szCs w:val="18"/>
                <w:lang w:val="en-US"/>
              </w:rPr>
              <w:t xml:space="preserve">. </w:t>
            </w:r>
            <w:proofErr w:type="spellStart"/>
            <w:r w:rsidRPr="00B169B3">
              <w:rPr>
                <w:sz w:val="18"/>
                <w:szCs w:val="18"/>
                <w:lang w:val="en-US"/>
              </w:rPr>
              <w:t>mok</w:t>
            </w:r>
            <w:proofErr w:type="spellEnd"/>
            <w:r w:rsidRPr="00B169B3">
              <w:rPr>
                <w:sz w:val="18"/>
                <w:szCs w:val="18"/>
                <w:lang w:val="en-US"/>
              </w:rPr>
              <w:t xml:space="preserve">. </w:t>
            </w:r>
            <w:proofErr w:type="spellStart"/>
            <w:r w:rsidRPr="00B169B3">
              <w:rPr>
                <w:sz w:val="18"/>
                <w:szCs w:val="18"/>
                <w:lang w:val="en-US"/>
              </w:rPr>
              <w:t>ir</w:t>
            </w:r>
            <w:proofErr w:type="spellEnd"/>
            <w:r w:rsidRPr="00B169B3">
              <w:rPr>
                <w:sz w:val="18"/>
                <w:szCs w:val="18"/>
                <w:lang w:val="en-US"/>
              </w:rPr>
              <w:t xml:space="preserve"> </w:t>
            </w:r>
            <w:proofErr w:type="spellStart"/>
            <w:r w:rsidRPr="00B169B3">
              <w:rPr>
                <w:sz w:val="18"/>
                <w:szCs w:val="18"/>
                <w:lang w:val="en-US"/>
              </w:rPr>
              <w:t>Platelių</w:t>
            </w:r>
            <w:proofErr w:type="spellEnd"/>
            <w:r w:rsidRPr="00B169B3">
              <w:rPr>
                <w:sz w:val="18"/>
                <w:szCs w:val="18"/>
                <w:lang w:val="en-US"/>
              </w:rPr>
              <w:t xml:space="preserve"> </w:t>
            </w:r>
            <w:proofErr w:type="spellStart"/>
            <w:r w:rsidRPr="00B169B3">
              <w:rPr>
                <w:sz w:val="18"/>
                <w:szCs w:val="18"/>
                <w:lang w:val="en-US"/>
              </w:rPr>
              <w:t>gimn</w:t>
            </w:r>
            <w:proofErr w:type="spellEnd"/>
            <w:r w:rsidRPr="00B169B3">
              <w:rPr>
                <w:sz w:val="18"/>
                <w:szCs w:val="18"/>
                <w:lang w:val="en-US"/>
              </w:rPr>
              <w:t>.)</w:t>
            </w:r>
          </w:p>
        </w:tc>
        <w:tc>
          <w:tcPr>
            <w:tcW w:w="711" w:type="dxa"/>
            <w:tcBorders>
              <w:top w:val="nil"/>
              <w:left w:val="single" w:sz="4" w:space="0" w:color="auto"/>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485.9</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295</w:t>
            </w:r>
          </w:p>
        </w:tc>
        <w:tc>
          <w:tcPr>
            <w:tcW w:w="87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1.65</w:t>
            </w:r>
          </w:p>
        </w:tc>
        <w:tc>
          <w:tcPr>
            <w:tcW w:w="801"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870.9</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sz w:val="18"/>
                <w:szCs w:val="18"/>
                <w:lang w:val="en-US"/>
              </w:rPr>
            </w:pPr>
            <w:r w:rsidRPr="00B169B3">
              <w:rPr>
                <w:sz w:val="18"/>
                <w:szCs w:val="18"/>
                <w:lang w:val="en-US"/>
              </w:rPr>
              <w:t>295</w:t>
            </w:r>
          </w:p>
        </w:tc>
        <w:tc>
          <w:tcPr>
            <w:tcW w:w="882"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2.95</w:t>
            </w:r>
          </w:p>
        </w:tc>
        <w:tc>
          <w:tcPr>
            <w:tcW w:w="96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1356.8</w:t>
            </w:r>
          </w:p>
        </w:tc>
        <w:tc>
          <w:tcPr>
            <w:tcW w:w="90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4.60</w:t>
            </w:r>
          </w:p>
        </w:tc>
      </w:tr>
      <w:tr w:rsidR="00B169B3" w:rsidRPr="00B169B3" w:rsidTr="00BF05E4">
        <w:trPr>
          <w:gridAfter w:val="1"/>
          <w:wAfter w:w="43" w:type="dxa"/>
          <w:trHeight w:val="300"/>
        </w:trPr>
        <w:tc>
          <w:tcPr>
            <w:tcW w:w="29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69B3" w:rsidRPr="00B169B3" w:rsidRDefault="00B169B3" w:rsidP="00B169B3">
            <w:pPr>
              <w:jc w:val="center"/>
              <w:rPr>
                <w:b/>
                <w:bCs/>
                <w:sz w:val="18"/>
                <w:szCs w:val="18"/>
                <w:lang w:val="en-US"/>
              </w:rPr>
            </w:pPr>
            <w:proofErr w:type="spellStart"/>
            <w:r w:rsidRPr="00B169B3">
              <w:rPr>
                <w:b/>
                <w:bCs/>
                <w:sz w:val="18"/>
                <w:szCs w:val="18"/>
                <w:lang w:val="en-US"/>
              </w:rPr>
              <w:t>iš</w:t>
            </w:r>
            <w:proofErr w:type="spellEnd"/>
            <w:r w:rsidRPr="00B169B3">
              <w:rPr>
                <w:b/>
                <w:bCs/>
                <w:sz w:val="18"/>
                <w:szCs w:val="18"/>
                <w:lang w:val="en-US"/>
              </w:rPr>
              <w:t xml:space="preserve"> </w:t>
            </w:r>
            <w:proofErr w:type="spellStart"/>
            <w:r w:rsidRPr="00B169B3">
              <w:rPr>
                <w:b/>
                <w:bCs/>
                <w:sz w:val="18"/>
                <w:szCs w:val="18"/>
                <w:lang w:val="en-US"/>
              </w:rPr>
              <w:t>viso</w:t>
            </w:r>
            <w:proofErr w:type="spellEnd"/>
          </w:p>
        </w:tc>
        <w:tc>
          <w:tcPr>
            <w:tcW w:w="711"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7909.1</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6539</w:t>
            </w:r>
          </w:p>
        </w:tc>
        <w:tc>
          <w:tcPr>
            <w:tcW w:w="87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1.21</w:t>
            </w:r>
          </w:p>
        </w:tc>
        <w:tc>
          <w:tcPr>
            <w:tcW w:w="801"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10300.7</w:t>
            </w:r>
          </w:p>
        </w:tc>
        <w:tc>
          <w:tcPr>
            <w:tcW w:w="83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6539</w:t>
            </w:r>
          </w:p>
        </w:tc>
        <w:tc>
          <w:tcPr>
            <w:tcW w:w="882"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1.58</w:t>
            </w:r>
          </w:p>
        </w:tc>
        <w:tc>
          <w:tcPr>
            <w:tcW w:w="96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18209.7</w:t>
            </w:r>
          </w:p>
        </w:tc>
        <w:tc>
          <w:tcPr>
            <w:tcW w:w="907" w:type="dxa"/>
            <w:tcBorders>
              <w:top w:val="nil"/>
              <w:left w:val="nil"/>
              <w:bottom w:val="single" w:sz="4" w:space="0" w:color="auto"/>
              <w:right w:val="single" w:sz="4" w:space="0" w:color="auto"/>
            </w:tcBorders>
            <w:shd w:val="clear" w:color="auto" w:fill="auto"/>
            <w:vAlign w:val="bottom"/>
            <w:hideMark/>
          </w:tcPr>
          <w:p w:rsidR="00B169B3" w:rsidRPr="00B169B3" w:rsidRDefault="00B169B3" w:rsidP="00B169B3">
            <w:pPr>
              <w:jc w:val="center"/>
              <w:rPr>
                <w:b/>
                <w:bCs/>
                <w:sz w:val="18"/>
                <w:szCs w:val="18"/>
                <w:lang w:val="en-US"/>
              </w:rPr>
            </w:pPr>
            <w:r w:rsidRPr="00B169B3">
              <w:rPr>
                <w:b/>
                <w:bCs/>
                <w:sz w:val="18"/>
                <w:szCs w:val="18"/>
                <w:lang w:val="en-US"/>
              </w:rPr>
              <w:t>2.78</w:t>
            </w:r>
          </w:p>
        </w:tc>
      </w:tr>
      <w:tr w:rsidR="00750115" w:rsidRPr="00332228" w:rsidTr="00750115">
        <w:trPr>
          <w:trHeight w:val="315"/>
        </w:trPr>
        <w:tc>
          <w:tcPr>
            <w:tcW w:w="9762" w:type="dxa"/>
            <w:gridSpan w:val="11"/>
            <w:shd w:val="clear" w:color="auto" w:fill="auto"/>
            <w:noWrap/>
          </w:tcPr>
          <w:p w:rsidR="00750115" w:rsidRPr="00BA75C0" w:rsidRDefault="00750115" w:rsidP="00DB44FB"/>
        </w:tc>
      </w:tr>
      <w:tr w:rsidR="00DB44FB" w:rsidRPr="00332228" w:rsidTr="00750115">
        <w:trPr>
          <w:trHeight w:val="315"/>
        </w:trPr>
        <w:tc>
          <w:tcPr>
            <w:tcW w:w="9762" w:type="dxa"/>
            <w:gridSpan w:val="11"/>
            <w:shd w:val="clear" w:color="auto" w:fill="auto"/>
            <w:noWrap/>
          </w:tcPr>
          <w:p w:rsidR="00C63A1B" w:rsidRPr="00C63A1B" w:rsidRDefault="00C63A1B" w:rsidP="00701AA5">
            <w:pPr>
              <w:ind w:firstLine="720"/>
              <w:jc w:val="both"/>
              <w:rPr>
                <w:sz w:val="24"/>
                <w:szCs w:val="24"/>
              </w:rPr>
            </w:pPr>
            <w:r w:rsidRPr="00C63A1B">
              <w:rPr>
                <w:sz w:val="24"/>
                <w:szCs w:val="24"/>
              </w:rPr>
              <w:t xml:space="preserve">Mokinių skaičius visose švietimo įstaigose rodomas 2021 metų rugsėjo 1 d.  </w:t>
            </w:r>
          </w:p>
          <w:p w:rsidR="00DB44FB" w:rsidRPr="00BA75C0" w:rsidRDefault="00C63A1B" w:rsidP="00701AA5">
            <w:pPr>
              <w:ind w:firstLine="720"/>
              <w:jc w:val="both"/>
            </w:pPr>
            <w:r w:rsidRPr="00C63A1B">
              <w:rPr>
                <w:sz w:val="24"/>
                <w:szCs w:val="24"/>
              </w:rPr>
              <w:t xml:space="preserve">Įstaigose, kuriose buvo vykdomos reorganizacijos ( </w:t>
            </w:r>
            <w:proofErr w:type="spellStart"/>
            <w:r w:rsidRPr="00C63A1B">
              <w:rPr>
                <w:sz w:val="24"/>
                <w:szCs w:val="24"/>
              </w:rPr>
              <w:t>Liepijų</w:t>
            </w:r>
            <w:proofErr w:type="spellEnd"/>
            <w:r w:rsidRPr="00C63A1B">
              <w:rPr>
                <w:sz w:val="24"/>
                <w:szCs w:val="24"/>
              </w:rPr>
              <w:t xml:space="preserve"> mokykla, Akademiko A</w:t>
            </w:r>
            <w:r w:rsidR="0018443C">
              <w:rPr>
                <w:sz w:val="24"/>
                <w:szCs w:val="24"/>
              </w:rPr>
              <w:t xml:space="preserve">dolfo </w:t>
            </w:r>
            <w:r w:rsidRPr="00C63A1B">
              <w:rPr>
                <w:sz w:val="24"/>
                <w:szCs w:val="24"/>
              </w:rPr>
              <w:t>Jucio progimnazija, lopšelis</w:t>
            </w:r>
            <w:r w:rsidR="0018443C">
              <w:rPr>
                <w:sz w:val="24"/>
                <w:szCs w:val="24"/>
              </w:rPr>
              <w:t>-</w:t>
            </w:r>
            <w:r w:rsidRPr="00C63A1B">
              <w:rPr>
                <w:sz w:val="24"/>
                <w:szCs w:val="24"/>
              </w:rPr>
              <w:t>darželis „Nykštukas“) visų 2021 metų asignavimai rodomi reorganizuotose įstaigose.</w:t>
            </w:r>
          </w:p>
        </w:tc>
      </w:tr>
    </w:tbl>
    <w:p w:rsidR="002F7193" w:rsidRDefault="00A377D8" w:rsidP="00C63A1B">
      <w:pPr>
        <w:jc w:val="both"/>
        <w:rPr>
          <w:sz w:val="24"/>
          <w:szCs w:val="24"/>
        </w:rPr>
      </w:pPr>
      <w:r>
        <w:rPr>
          <w:sz w:val="24"/>
          <w:szCs w:val="24"/>
        </w:rPr>
        <w:t xml:space="preserve">            </w:t>
      </w:r>
    </w:p>
    <w:p w:rsidR="00B82585" w:rsidRDefault="003A44B7" w:rsidP="002F7193">
      <w:pPr>
        <w:jc w:val="center"/>
        <w:rPr>
          <w:sz w:val="24"/>
          <w:szCs w:val="24"/>
        </w:rPr>
      </w:pPr>
      <w:r w:rsidRPr="003A44B7">
        <w:rPr>
          <w:noProof/>
          <w:sz w:val="24"/>
          <w:szCs w:val="24"/>
          <w:lang w:eastAsia="lt-LT"/>
        </w:rPr>
        <w:drawing>
          <wp:inline distT="0" distB="0" distL="0" distR="0" wp14:anchorId="4859AAD5" wp14:editId="32FB954E">
            <wp:extent cx="6162783" cy="689691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06182" cy="6945479"/>
                    </a:xfrm>
                    <a:prstGeom prst="rect">
                      <a:avLst/>
                    </a:prstGeom>
                    <a:noFill/>
                  </pic:spPr>
                </pic:pic>
              </a:graphicData>
            </a:graphic>
          </wp:inline>
        </w:drawing>
      </w:r>
    </w:p>
    <w:p w:rsidR="00F810C9" w:rsidRDefault="00EA0C93" w:rsidP="00EA0C93">
      <w:pPr>
        <w:ind w:left="-3" w:firstLine="712"/>
        <w:jc w:val="center"/>
        <w:rPr>
          <w:b/>
          <w:bCs/>
          <w:sz w:val="24"/>
          <w:szCs w:val="24"/>
          <w:lang w:eastAsia="lt-LT"/>
        </w:rPr>
      </w:pPr>
      <w:r w:rsidRPr="00EA0C93">
        <w:rPr>
          <w:b/>
          <w:bCs/>
          <w:sz w:val="24"/>
          <w:szCs w:val="24"/>
          <w:lang w:eastAsia="lt-LT"/>
        </w:rPr>
        <w:t>8</w:t>
      </w:r>
      <w:r w:rsidR="000910B3" w:rsidRPr="00EA0C93">
        <w:rPr>
          <w:b/>
          <w:bCs/>
          <w:sz w:val="24"/>
          <w:szCs w:val="24"/>
          <w:lang w:eastAsia="lt-LT"/>
        </w:rPr>
        <w:t xml:space="preserve"> pav. Lėšos, skirtos vienam mokiniui,</w:t>
      </w:r>
      <w:r w:rsidR="003A44B7">
        <w:rPr>
          <w:b/>
          <w:bCs/>
          <w:sz w:val="24"/>
          <w:szCs w:val="24"/>
          <w:lang w:eastAsia="lt-LT"/>
        </w:rPr>
        <w:t xml:space="preserve"> vaikui švietimo įstaigose 2021</w:t>
      </w:r>
      <w:r w:rsidR="000910B3" w:rsidRPr="00EA0C93">
        <w:rPr>
          <w:b/>
          <w:bCs/>
          <w:sz w:val="24"/>
          <w:szCs w:val="24"/>
          <w:lang w:eastAsia="lt-LT"/>
        </w:rPr>
        <w:t xml:space="preserve"> metais, tūkst. eurų</w:t>
      </w:r>
    </w:p>
    <w:p w:rsidR="00C63A1B" w:rsidRPr="00EA0C93" w:rsidRDefault="00C63A1B" w:rsidP="00EA0C93">
      <w:pPr>
        <w:ind w:left="-3" w:firstLine="712"/>
        <w:jc w:val="center"/>
        <w:rPr>
          <w:b/>
          <w:sz w:val="24"/>
          <w:szCs w:val="24"/>
        </w:rPr>
      </w:pPr>
    </w:p>
    <w:p w:rsidR="003A44B7" w:rsidRDefault="00EA0C93" w:rsidP="00701AA5">
      <w:pPr>
        <w:ind w:firstLine="720"/>
        <w:jc w:val="both"/>
        <w:rPr>
          <w:noProof/>
          <w:sz w:val="24"/>
          <w:szCs w:val="24"/>
          <w:lang w:eastAsia="lt-LT"/>
        </w:rPr>
      </w:pPr>
      <w:r>
        <w:rPr>
          <w:noProof/>
          <w:sz w:val="24"/>
          <w:szCs w:val="24"/>
          <w:lang w:eastAsia="lt-LT"/>
        </w:rPr>
        <w:t>8</w:t>
      </w:r>
      <w:r w:rsidR="000910B3" w:rsidRPr="000910B3">
        <w:rPr>
          <w:noProof/>
          <w:sz w:val="24"/>
          <w:szCs w:val="24"/>
          <w:lang w:eastAsia="lt-LT"/>
        </w:rPr>
        <w:t xml:space="preserve"> paveiksle grafiškai pavaizduot</w:t>
      </w:r>
      <w:r w:rsidR="003A44B7">
        <w:rPr>
          <w:noProof/>
          <w:sz w:val="24"/>
          <w:szCs w:val="24"/>
          <w:lang w:eastAsia="lt-LT"/>
        </w:rPr>
        <w:t>a, kaip 2021</w:t>
      </w:r>
      <w:r w:rsidR="000910B3" w:rsidRPr="000910B3">
        <w:rPr>
          <w:noProof/>
          <w:sz w:val="24"/>
          <w:szCs w:val="24"/>
          <w:lang w:eastAsia="lt-LT"/>
        </w:rPr>
        <w:t xml:space="preserve"> metais švietimo įstaigoms iš visų finansavimo šaltinių buvo paskirstytas finansavimas, skiriamas vienam mokiniui, vaikui išlaikyti, ugdyti.</w:t>
      </w:r>
    </w:p>
    <w:p w:rsidR="000910B3" w:rsidRPr="000910B3" w:rsidRDefault="000C46FA" w:rsidP="00701AA5">
      <w:pPr>
        <w:ind w:firstLine="720"/>
        <w:jc w:val="both"/>
        <w:rPr>
          <w:noProof/>
          <w:sz w:val="24"/>
          <w:szCs w:val="24"/>
          <w:lang w:eastAsia="lt-LT"/>
        </w:rPr>
      </w:pPr>
      <w:r>
        <w:rPr>
          <w:noProof/>
          <w:sz w:val="24"/>
          <w:szCs w:val="24"/>
          <w:lang w:eastAsia="lt-LT"/>
        </w:rPr>
        <w:t xml:space="preserve">Kol kas sunku </w:t>
      </w:r>
      <w:r w:rsidR="003A44B7">
        <w:rPr>
          <w:noProof/>
          <w:sz w:val="24"/>
          <w:szCs w:val="24"/>
          <w:lang w:eastAsia="lt-LT"/>
        </w:rPr>
        <w:t xml:space="preserve">palyginti, kaip keitėsi </w:t>
      </w:r>
      <w:r w:rsidR="003A44B7" w:rsidRPr="003A44B7">
        <w:rPr>
          <w:noProof/>
          <w:sz w:val="24"/>
          <w:szCs w:val="24"/>
          <w:lang w:eastAsia="lt-LT"/>
        </w:rPr>
        <w:t>finansavimas, skiriamas vienam mok</w:t>
      </w:r>
      <w:r w:rsidR="003A44B7">
        <w:rPr>
          <w:noProof/>
          <w:sz w:val="24"/>
          <w:szCs w:val="24"/>
          <w:lang w:eastAsia="lt-LT"/>
        </w:rPr>
        <w:t xml:space="preserve">iniui, vaikui išlaikyti, ugdyti 2021 </w:t>
      </w:r>
      <w:r>
        <w:rPr>
          <w:noProof/>
          <w:sz w:val="24"/>
          <w:szCs w:val="24"/>
          <w:lang w:eastAsia="lt-LT"/>
        </w:rPr>
        <w:t xml:space="preserve">ir ankstesniais metais </w:t>
      </w:r>
      <w:r w:rsidR="003A44B7">
        <w:rPr>
          <w:noProof/>
          <w:sz w:val="24"/>
          <w:szCs w:val="24"/>
          <w:lang w:eastAsia="lt-LT"/>
        </w:rPr>
        <w:t>įstaigose, kurios 2021 m. r</w:t>
      </w:r>
      <w:r>
        <w:rPr>
          <w:noProof/>
          <w:sz w:val="24"/>
          <w:szCs w:val="24"/>
          <w:lang w:eastAsia="lt-LT"/>
        </w:rPr>
        <w:t xml:space="preserve">ugsėjo 1 d. buvo </w:t>
      </w:r>
      <w:r>
        <w:rPr>
          <w:noProof/>
          <w:sz w:val="24"/>
          <w:szCs w:val="24"/>
          <w:lang w:eastAsia="lt-LT"/>
        </w:rPr>
        <w:lastRenderedPageBreak/>
        <w:t>reorganizuotos, nes buvo mokamos i</w:t>
      </w:r>
      <w:r w:rsidR="001E7335">
        <w:rPr>
          <w:noProof/>
          <w:sz w:val="24"/>
          <w:szCs w:val="24"/>
          <w:lang w:eastAsia="lt-LT"/>
        </w:rPr>
        <w:t>šeitinės išmokos darbuotojams, iki 2021 m. rugsėjo 1 d. lėšos rodomos dar nereorganizuotose įstaigose</w:t>
      </w:r>
      <w:r w:rsidR="003A44B7">
        <w:rPr>
          <w:noProof/>
          <w:sz w:val="24"/>
          <w:szCs w:val="24"/>
          <w:lang w:eastAsia="lt-LT"/>
        </w:rPr>
        <w:t xml:space="preserve"> </w:t>
      </w:r>
      <w:r w:rsidR="000910B3" w:rsidRPr="000910B3">
        <w:rPr>
          <w:noProof/>
          <w:sz w:val="24"/>
          <w:szCs w:val="24"/>
          <w:lang w:eastAsia="lt-LT"/>
        </w:rPr>
        <w:t xml:space="preserve">  </w:t>
      </w:r>
    </w:p>
    <w:p w:rsidR="000910B3" w:rsidRDefault="00EA0C93" w:rsidP="00701AA5">
      <w:pPr>
        <w:ind w:firstLine="720"/>
        <w:jc w:val="both"/>
        <w:rPr>
          <w:noProof/>
          <w:sz w:val="24"/>
          <w:szCs w:val="24"/>
          <w:lang w:eastAsia="lt-LT"/>
        </w:rPr>
      </w:pPr>
      <w:r>
        <w:rPr>
          <w:noProof/>
          <w:sz w:val="24"/>
          <w:szCs w:val="24"/>
          <w:lang w:eastAsia="lt-LT"/>
        </w:rPr>
        <w:t>9</w:t>
      </w:r>
      <w:r w:rsidR="000910B3" w:rsidRPr="000910B3">
        <w:rPr>
          <w:noProof/>
          <w:sz w:val="24"/>
          <w:szCs w:val="24"/>
          <w:lang w:eastAsia="lt-LT"/>
        </w:rPr>
        <w:t xml:space="preserve"> paveiksl</w:t>
      </w:r>
      <w:r w:rsidR="000C46FA">
        <w:rPr>
          <w:noProof/>
          <w:sz w:val="24"/>
          <w:szCs w:val="24"/>
          <w:lang w:eastAsia="lt-LT"/>
        </w:rPr>
        <w:t>e parodyta, kiek asignavimų 2021</w:t>
      </w:r>
      <w:r w:rsidR="000910B3" w:rsidRPr="000910B3">
        <w:rPr>
          <w:noProof/>
          <w:sz w:val="24"/>
          <w:szCs w:val="24"/>
          <w:lang w:eastAsia="lt-LT"/>
        </w:rPr>
        <w:t xml:space="preserve"> metais buvo skirta vienam mokiniui iš savarankiškųjų bei kitų dotacijų, be dotacijos ugdy</w:t>
      </w:r>
      <w:r>
        <w:rPr>
          <w:noProof/>
          <w:sz w:val="24"/>
          <w:szCs w:val="24"/>
          <w:lang w:eastAsia="lt-LT"/>
        </w:rPr>
        <w:t>mo reikmėms finansuoti lėšų, o 10</w:t>
      </w:r>
      <w:r w:rsidR="000910B3" w:rsidRPr="000910B3">
        <w:rPr>
          <w:noProof/>
          <w:sz w:val="24"/>
          <w:szCs w:val="24"/>
          <w:lang w:eastAsia="lt-LT"/>
        </w:rPr>
        <w:t xml:space="preserve"> paveiksl</w:t>
      </w:r>
      <w:r w:rsidR="000C46FA">
        <w:rPr>
          <w:noProof/>
          <w:sz w:val="24"/>
          <w:szCs w:val="24"/>
          <w:lang w:eastAsia="lt-LT"/>
        </w:rPr>
        <w:t>e parodyta, kiek asignavimų 2021</w:t>
      </w:r>
      <w:r w:rsidR="000910B3" w:rsidRPr="000910B3">
        <w:rPr>
          <w:noProof/>
          <w:sz w:val="24"/>
          <w:szCs w:val="24"/>
          <w:lang w:eastAsia="lt-LT"/>
        </w:rPr>
        <w:t xml:space="preserve"> metais buvo skirta vienam mokiniui iš dotacijos ugdymo reikmėms finansuoti.</w:t>
      </w:r>
    </w:p>
    <w:p w:rsidR="00EA0C93" w:rsidRDefault="00EA0C93" w:rsidP="00701AA5">
      <w:pPr>
        <w:ind w:firstLine="720"/>
        <w:jc w:val="both"/>
        <w:rPr>
          <w:noProof/>
          <w:sz w:val="24"/>
          <w:szCs w:val="24"/>
          <w:lang w:eastAsia="lt-LT"/>
        </w:rPr>
      </w:pPr>
    </w:p>
    <w:p w:rsidR="00F810C9" w:rsidRDefault="000C46FA" w:rsidP="00F810C9">
      <w:pPr>
        <w:ind w:firstLine="142"/>
        <w:jc w:val="center"/>
        <w:rPr>
          <w:b/>
          <w:sz w:val="24"/>
          <w:szCs w:val="24"/>
        </w:rPr>
      </w:pPr>
      <w:r>
        <w:rPr>
          <w:b/>
          <w:noProof/>
          <w:sz w:val="24"/>
          <w:szCs w:val="24"/>
          <w:lang w:eastAsia="lt-LT"/>
        </w:rPr>
        <w:drawing>
          <wp:inline distT="0" distB="0" distL="0" distR="0" wp14:anchorId="7AE1CE88">
            <wp:extent cx="6163310" cy="6887183"/>
            <wp:effectExtent l="0" t="0" r="889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64637" cy="6888666"/>
                    </a:xfrm>
                    <a:prstGeom prst="rect">
                      <a:avLst/>
                    </a:prstGeom>
                    <a:noFill/>
                  </pic:spPr>
                </pic:pic>
              </a:graphicData>
            </a:graphic>
          </wp:inline>
        </w:drawing>
      </w:r>
    </w:p>
    <w:p w:rsidR="00F810C9" w:rsidRPr="00F810C9" w:rsidRDefault="00EA0C93" w:rsidP="00F810C9">
      <w:pPr>
        <w:ind w:firstLine="142"/>
        <w:jc w:val="center"/>
        <w:rPr>
          <w:b/>
          <w:sz w:val="24"/>
          <w:szCs w:val="24"/>
        </w:rPr>
      </w:pPr>
      <w:r>
        <w:rPr>
          <w:b/>
          <w:sz w:val="24"/>
          <w:szCs w:val="24"/>
        </w:rPr>
        <w:t>9</w:t>
      </w:r>
      <w:r w:rsidR="000910B3" w:rsidRPr="000910B3">
        <w:rPr>
          <w:b/>
          <w:sz w:val="24"/>
          <w:szCs w:val="24"/>
        </w:rPr>
        <w:t xml:space="preserve"> pav. Lėšos, skirtos vienam mokiniui, vaikui švietimo į</w:t>
      </w:r>
      <w:r w:rsidR="000C46FA">
        <w:rPr>
          <w:b/>
          <w:sz w:val="24"/>
          <w:szCs w:val="24"/>
        </w:rPr>
        <w:t>staigose 2021</w:t>
      </w:r>
      <w:r w:rsidR="000910B3" w:rsidRPr="000910B3">
        <w:rPr>
          <w:b/>
          <w:sz w:val="24"/>
          <w:szCs w:val="24"/>
        </w:rPr>
        <w:t xml:space="preserve"> metais iš </w:t>
      </w:r>
      <w:proofErr w:type="spellStart"/>
      <w:r w:rsidR="000910B3" w:rsidRPr="000910B3">
        <w:rPr>
          <w:b/>
          <w:sz w:val="24"/>
          <w:szCs w:val="24"/>
        </w:rPr>
        <w:t>savarankiškųjų</w:t>
      </w:r>
      <w:proofErr w:type="spellEnd"/>
      <w:r w:rsidR="000910B3" w:rsidRPr="000910B3">
        <w:rPr>
          <w:b/>
          <w:sz w:val="24"/>
          <w:szCs w:val="24"/>
        </w:rPr>
        <w:t xml:space="preserve"> bei kitų dotacijų, tūkst. eurų</w:t>
      </w:r>
    </w:p>
    <w:p w:rsidR="00EA0C93" w:rsidRDefault="000C46FA" w:rsidP="00F810C9">
      <w:pPr>
        <w:ind w:firstLine="142"/>
        <w:jc w:val="center"/>
        <w:rPr>
          <w:b/>
          <w:sz w:val="24"/>
          <w:szCs w:val="24"/>
        </w:rPr>
      </w:pPr>
      <w:r>
        <w:rPr>
          <w:b/>
          <w:noProof/>
          <w:sz w:val="24"/>
          <w:szCs w:val="24"/>
          <w:lang w:eastAsia="lt-LT"/>
        </w:rPr>
        <w:lastRenderedPageBreak/>
        <w:drawing>
          <wp:inline distT="0" distB="0" distL="0" distR="0" wp14:anchorId="2FF1B7E1">
            <wp:extent cx="6163310" cy="6998970"/>
            <wp:effectExtent l="0" t="0" r="889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63310" cy="6998970"/>
                    </a:xfrm>
                    <a:prstGeom prst="rect">
                      <a:avLst/>
                    </a:prstGeom>
                    <a:noFill/>
                  </pic:spPr>
                </pic:pic>
              </a:graphicData>
            </a:graphic>
          </wp:inline>
        </w:drawing>
      </w:r>
    </w:p>
    <w:p w:rsidR="00750115" w:rsidRDefault="00750115" w:rsidP="00F810C9">
      <w:pPr>
        <w:ind w:firstLine="142"/>
        <w:jc w:val="center"/>
        <w:rPr>
          <w:b/>
          <w:sz w:val="24"/>
          <w:szCs w:val="24"/>
        </w:rPr>
      </w:pPr>
    </w:p>
    <w:p w:rsidR="00F810C9" w:rsidRDefault="00EA0C93" w:rsidP="00F810C9">
      <w:pPr>
        <w:ind w:firstLine="142"/>
        <w:jc w:val="center"/>
        <w:rPr>
          <w:b/>
          <w:sz w:val="24"/>
          <w:szCs w:val="24"/>
        </w:rPr>
      </w:pPr>
      <w:r>
        <w:rPr>
          <w:b/>
          <w:sz w:val="24"/>
          <w:szCs w:val="24"/>
        </w:rPr>
        <w:t>10</w:t>
      </w:r>
      <w:r w:rsidR="000910B3" w:rsidRPr="000910B3">
        <w:rPr>
          <w:b/>
          <w:sz w:val="24"/>
          <w:szCs w:val="24"/>
        </w:rPr>
        <w:t xml:space="preserve"> pav. Lėšos, skirtos vienam mokiniui,</w:t>
      </w:r>
      <w:r w:rsidR="000C46FA">
        <w:rPr>
          <w:b/>
          <w:sz w:val="24"/>
          <w:szCs w:val="24"/>
        </w:rPr>
        <w:t xml:space="preserve"> vaikui švietimo įstaigose 2021</w:t>
      </w:r>
      <w:r w:rsidR="000910B3" w:rsidRPr="000910B3">
        <w:rPr>
          <w:b/>
          <w:sz w:val="24"/>
          <w:szCs w:val="24"/>
        </w:rPr>
        <w:t xml:space="preserve"> metais iš dotacijos ugdymo reikmėms finansuoti.</w:t>
      </w:r>
    </w:p>
    <w:p w:rsidR="00750115" w:rsidRDefault="00750115" w:rsidP="00F810C9">
      <w:pPr>
        <w:ind w:firstLine="142"/>
        <w:jc w:val="center"/>
        <w:rPr>
          <w:b/>
          <w:sz w:val="24"/>
          <w:szCs w:val="24"/>
        </w:rPr>
      </w:pPr>
    </w:p>
    <w:p w:rsidR="00BF05E4" w:rsidRPr="000910B3" w:rsidRDefault="00BF05E4" w:rsidP="00F810C9">
      <w:pPr>
        <w:ind w:firstLine="142"/>
        <w:jc w:val="center"/>
        <w:rPr>
          <w:b/>
          <w:sz w:val="24"/>
          <w:szCs w:val="24"/>
        </w:rPr>
      </w:pPr>
    </w:p>
    <w:p w:rsidR="00F65487" w:rsidRPr="00212CD1" w:rsidRDefault="0038068B" w:rsidP="000C46FA">
      <w:pPr>
        <w:tabs>
          <w:tab w:val="left" w:pos="1418"/>
        </w:tabs>
        <w:jc w:val="center"/>
        <w:rPr>
          <w:b/>
          <w:sz w:val="28"/>
          <w:szCs w:val="28"/>
        </w:rPr>
      </w:pPr>
      <w:r w:rsidRPr="00212CD1">
        <w:rPr>
          <w:b/>
          <w:sz w:val="28"/>
          <w:szCs w:val="28"/>
        </w:rPr>
        <w:t>Mokėtinos ir gautinos sumos</w:t>
      </w:r>
    </w:p>
    <w:p w:rsidR="001735EA" w:rsidRPr="00212CD1" w:rsidRDefault="001735EA" w:rsidP="000C46FA">
      <w:pPr>
        <w:pStyle w:val="Sraopastraipa"/>
        <w:jc w:val="center"/>
        <w:rPr>
          <w:b/>
          <w:sz w:val="28"/>
          <w:szCs w:val="28"/>
        </w:rPr>
      </w:pPr>
    </w:p>
    <w:p w:rsidR="00750115" w:rsidRPr="00212CD1" w:rsidRDefault="00750115" w:rsidP="00914296">
      <w:pPr>
        <w:ind w:firstLine="720"/>
        <w:jc w:val="both"/>
        <w:rPr>
          <w:sz w:val="24"/>
          <w:szCs w:val="24"/>
        </w:rPr>
      </w:pPr>
      <w:r w:rsidRPr="00212CD1">
        <w:rPr>
          <w:sz w:val="24"/>
          <w:szCs w:val="24"/>
        </w:rPr>
        <w:t>Plungės rajono savivaldybės mokėtinos sumos 2021 m. gruodžio 31 d. buvo 7801,4 tūkst. eurų, iš jų 7295,2 tūkst. eurų – paskolos (2020 m. gruodžio 31 d. paskolos likutis buvo 8174,6 tūkst. eurų, iš jų 1462,0 tūkst. eurų Lietuvos Respublikos finansų ministerijos trumpalaikės paskolos).</w:t>
      </w:r>
    </w:p>
    <w:p w:rsidR="00750115" w:rsidRPr="00212CD1" w:rsidRDefault="00750115">
      <w:pPr>
        <w:ind w:firstLine="720"/>
        <w:jc w:val="both"/>
        <w:rPr>
          <w:sz w:val="24"/>
          <w:szCs w:val="24"/>
        </w:rPr>
      </w:pPr>
      <w:r w:rsidRPr="00212CD1">
        <w:rPr>
          <w:sz w:val="24"/>
          <w:szCs w:val="24"/>
        </w:rPr>
        <w:t>Ilgalaikių įsipareigojimų, kurių terminas ilgesnis negu 1 metai</w:t>
      </w:r>
      <w:r w:rsidR="0018443C">
        <w:rPr>
          <w:sz w:val="24"/>
          <w:szCs w:val="24"/>
        </w:rPr>
        <w:t>,</w:t>
      </w:r>
      <w:r w:rsidRPr="00212CD1">
        <w:rPr>
          <w:sz w:val="24"/>
          <w:szCs w:val="24"/>
        </w:rPr>
        <w:t xml:space="preserve"> likutis 2021 m. gruodžio 31 d. – 7384,1 tūkst. eurų, iš jų 88,9 tūkst. eurų – grąžintinos VIPA dotacijos, 7295,5 tūkst. eurų </w:t>
      </w:r>
      <w:r w:rsidRPr="00212CD1">
        <w:rPr>
          <w:sz w:val="24"/>
          <w:szCs w:val="24"/>
        </w:rPr>
        <w:lastRenderedPageBreak/>
        <w:t>ilgalaikės Savivaldybės paskolos. Palyginti su 2020 m. gruodžio 31 d., ilgalaikių įsipareigojimų, kurių terminas ilgesnis negu 1 metai padidėjo 593,5 tūkst. eurų.</w:t>
      </w:r>
    </w:p>
    <w:p w:rsidR="00750115" w:rsidRPr="00212CD1" w:rsidRDefault="00750115" w:rsidP="00701AA5">
      <w:pPr>
        <w:ind w:firstLine="720"/>
        <w:jc w:val="both"/>
        <w:rPr>
          <w:sz w:val="24"/>
          <w:szCs w:val="24"/>
        </w:rPr>
      </w:pPr>
      <w:r w:rsidRPr="00212CD1">
        <w:rPr>
          <w:sz w:val="24"/>
          <w:szCs w:val="24"/>
        </w:rPr>
        <w:t xml:space="preserve">Mokėtinos sumos 2021 m. gruodžio 31 d. palyginti su 2020 m. gruodžio 31 d., sumažėjo 1343,2 tūkst. eurų, iš jų finansinio įsipareigojimų vykdymo išlaidos (paskolos) sumažėjo 879,4 tūkst. eurų (sumažėjimui </w:t>
      </w:r>
      <w:r w:rsidR="0018443C">
        <w:rPr>
          <w:sz w:val="24"/>
          <w:szCs w:val="24"/>
        </w:rPr>
        <w:t>reikšmės</w:t>
      </w:r>
      <w:r w:rsidRPr="00212CD1">
        <w:rPr>
          <w:sz w:val="24"/>
          <w:szCs w:val="24"/>
        </w:rPr>
        <w:t xml:space="preserve"> turėjo 2020 m. gruodžio 31 d. buvusi Lietuvos Respublikos finansų ministerijos trumpalaikė paskola) . </w:t>
      </w:r>
    </w:p>
    <w:p w:rsidR="001735EA" w:rsidRDefault="00750115" w:rsidP="00914296">
      <w:pPr>
        <w:ind w:firstLine="720"/>
        <w:jc w:val="both"/>
        <w:rPr>
          <w:sz w:val="24"/>
          <w:szCs w:val="24"/>
        </w:rPr>
      </w:pPr>
      <w:r w:rsidRPr="00212CD1">
        <w:rPr>
          <w:sz w:val="24"/>
          <w:szCs w:val="24"/>
        </w:rPr>
        <w:t>Einamiesiems mokėjimams (už gruodžio mėnesį) dengti yra numatytos lėšos Savivaldybės 2022 metų biudžete.</w:t>
      </w:r>
    </w:p>
    <w:p w:rsidR="008000AE" w:rsidRDefault="008000AE" w:rsidP="001735EA">
      <w:pPr>
        <w:ind w:firstLine="720"/>
        <w:jc w:val="both"/>
        <w:rPr>
          <w:sz w:val="24"/>
          <w:szCs w:val="24"/>
        </w:rPr>
      </w:pPr>
    </w:p>
    <w:p w:rsidR="0000179A" w:rsidRPr="00212CD1" w:rsidRDefault="0000179A" w:rsidP="0000179A">
      <w:pPr>
        <w:ind w:firstLine="720"/>
        <w:jc w:val="center"/>
        <w:rPr>
          <w:b/>
          <w:sz w:val="28"/>
          <w:szCs w:val="28"/>
          <w:lang w:eastAsia="lt-LT"/>
        </w:rPr>
      </w:pPr>
      <w:r w:rsidRPr="00212CD1">
        <w:rPr>
          <w:b/>
          <w:sz w:val="28"/>
          <w:szCs w:val="28"/>
          <w:lang w:eastAsia="lt-LT"/>
        </w:rPr>
        <w:t>Paskolos, palūkanos ir kitos grąžintinos lėšos</w:t>
      </w:r>
    </w:p>
    <w:p w:rsidR="0000179A" w:rsidRPr="00212CD1" w:rsidRDefault="0000179A" w:rsidP="0000179A">
      <w:pPr>
        <w:ind w:firstLine="720"/>
        <w:jc w:val="center"/>
        <w:rPr>
          <w:b/>
          <w:sz w:val="24"/>
          <w:szCs w:val="24"/>
          <w:u w:val="single"/>
          <w:lang w:eastAsia="lt-LT"/>
        </w:rPr>
      </w:pPr>
    </w:p>
    <w:p w:rsidR="0000179A" w:rsidRPr="00212CD1" w:rsidRDefault="0000179A" w:rsidP="0000179A">
      <w:pPr>
        <w:ind w:firstLine="720"/>
        <w:jc w:val="both"/>
        <w:rPr>
          <w:sz w:val="24"/>
          <w:szCs w:val="24"/>
          <w:lang w:eastAsia="lt-LT"/>
        </w:rPr>
      </w:pPr>
      <w:r w:rsidRPr="00212CD1">
        <w:rPr>
          <w:sz w:val="24"/>
          <w:szCs w:val="24"/>
          <w:lang w:eastAsia="lt-LT"/>
        </w:rPr>
        <w:t xml:space="preserve">Per 2021 metus paimta 4403,4 tūkst. eurų ilgalaikių paskolų, iš jų – 2685,2 tūkst. eurų paskolai grąžinti, siekiant sumažinti palūkanas. </w:t>
      </w:r>
    </w:p>
    <w:p w:rsidR="0000179A" w:rsidRPr="00212CD1" w:rsidRDefault="0000179A" w:rsidP="0000179A">
      <w:pPr>
        <w:ind w:firstLine="720"/>
        <w:jc w:val="both"/>
        <w:rPr>
          <w:sz w:val="24"/>
          <w:szCs w:val="24"/>
          <w:lang w:eastAsia="lt-LT"/>
        </w:rPr>
      </w:pPr>
      <w:r w:rsidRPr="00212CD1">
        <w:rPr>
          <w:sz w:val="24"/>
          <w:szCs w:val="24"/>
          <w:lang w:eastAsia="lt-LT"/>
        </w:rPr>
        <w:t xml:space="preserve">2019 m. birželio 19 d. Finansų ministerijos raštu Nr. (24.40E)-6K-1903350 „Dėl projektų tinkamumo finansuoti savivaldybės pasiskolintomis lėšomis“ tinkamu finansuoti </w:t>
      </w:r>
      <w:r w:rsidR="0018443C">
        <w:rPr>
          <w:sz w:val="24"/>
          <w:szCs w:val="24"/>
          <w:lang w:eastAsia="lt-LT"/>
        </w:rPr>
        <w:t>S</w:t>
      </w:r>
      <w:r w:rsidRPr="00212CD1">
        <w:rPr>
          <w:sz w:val="24"/>
          <w:szCs w:val="24"/>
          <w:lang w:eastAsia="lt-LT"/>
        </w:rPr>
        <w:t xml:space="preserve">avivaldybės pasiskolintomis lėšomis pagal Lietuvos Respublikos 2019 metų valstybės biudžeto ir savivaldybių biudžetų finansinių rodiklių patvirtinimo įstatymo 12 straipsnio 1 dalies 2 punktą buvo pripažintas projektas „Universalaus sporto ir sveikatingumo komplekso Plungėje, </w:t>
      </w:r>
      <w:proofErr w:type="spellStart"/>
      <w:r w:rsidRPr="00212CD1">
        <w:rPr>
          <w:sz w:val="24"/>
          <w:szCs w:val="24"/>
          <w:lang w:eastAsia="lt-LT"/>
        </w:rPr>
        <w:t>Mendeno</w:t>
      </w:r>
      <w:proofErr w:type="spellEnd"/>
      <w:r w:rsidRPr="00212CD1">
        <w:rPr>
          <w:sz w:val="24"/>
          <w:szCs w:val="24"/>
          <w:lang w:eastAsia="lt-LT"/>
        </w:rPr>
        <w:t xml:space="preserve"> g. 1C, statyba (I etapas)“ ir leista skolintis 900 tūkst. eurų.</w:t>
      </w:r>
    </w:p>
    <w:p w:rsidR="0000179A" w:rsidRPr="00212CD1" w:rsidRDefault="0000179A" w:rsidP="0000179A">
      <w:pPr>
        <w:ind w:firstLine="720"/>
        <w:jc w:val="both"/>
        <w:rPr>
          <w:sz w:val="24"/>
          <w:szCs w:val="24"/>
          <w:lang w:eastAsia="lt-LT"/>
        </w:rPr>
      </w:pPr>
      <w:r w:rsidRPr="00212CD1">
        <w:rPr>
          <w:sz w:val="24"/>
          <w:szCs w:val="24"/>
          <w:lang w:eastAsia="lt-LT"/>
        </w:rPr>
        <w:t>2019 metais minėtam projektui pasiskolinta 27,7 tūkst. eurų, 2020 metais – 386,0  tūkst. eurų. Iš viso per 2019-2020 metus šiam projektui pasiskolinta 413,7 tūkst. eurų.</w:t>
      </w:r>
    </w:p>
    <w:p w:rsidR="0000179A" w:rsidRPr="00212CD1" w:rsidRDefault="0000179A" w:rsidP="0000179A">
      <w:pPr>
        <w:ind w:firstLine="720"/>
        <w:jc w:val="both"/>
        <w:rPr>
          <w:sz w:val="24"/>
          <w:szCs w:val="24"/>
          <w:lang w:eastAsia="lt-LT"/>
        </w:rPr>
      </w:pPr>
      <w:r w:rsidRPr="00212CD1">
        <w:rPr>
          <w:sz w:val="24"/>
          <w:szCs w:val="24"/>
          <w:lang w:eastAsia="lt-LT"/>
        </w:rPr>
        <w:t xml:space="preserve">Savivaldybės biudžeto atitiktis Fiskalinės sutarties įgyvendinimo konstitucinio įstatymo nuostatoms turi būti pasiekta per ketverių metų laikotarpį, skaičiuojant nuo pirmų metų, kai pradėta skolintis projektams įgyvendinti. </w:t>
      </w:r>
    </w:p>
    <w:p w:rsidR="0000179A" w:rsidRPr="00212CD1" w:rsidRDefault="0000179A" w:rsidP="0000179A">
      <w:pPr>
        <w:ind w:firstLine="720"/>
        <w:jc w:val="both"/>
        <w:rPr>
          <w:sz w:val="24"/>
          <w:szCs w:val="24"/>
          <w:lang w:eastAsia="lt-LT"/>
        </w:rPr>
      </w:pPr>
      <w:r w:rsidRPr="00212CD1">
        <w:rPr>
          <w:sz w:val="24"/>
          <w:szCs w:val="24"/>
          <w:lang w:eastAsia="lt-LT"/>
        </w:rPr>
        <w:t>Planuojant 2022 metų biudžetą</w:t>
      </w:r>
      <w:r w:rsidR="00914296">
        <w:rPr>
          <w:sz w:val="24"/>
          <w:szCs w:val="24"/>
          <w:lang w:eastAsia="lt-LT"/>
        </w:rPr>
        <w:t>,</w:t>
      </w:r>
      <w:r w:rsidRPr="00212CD1">
        <w:rPr>
          <w:sz w:val="24"/>
          <w:szCs w:val="24"/>
          <w:lang w:eastAsia="lt-LT"/>
        </w:rPr>
        <w:t xml:space="preserve"> siekiama Savivaldybės biudžeto atitikties Fiskalinės sutarties įgyvendinimo konstitucinio įstatymo nuostatoms.</w:t>
      </w:r>
    </w:p>
    <w:p w:rsidR="0000179A" w:rsidRPr="00212CD1" w:rsidRDefault="0000179A" w:rsidP="0000179A">
      <w:pPr>
        <w:ind w:firstLine="720"/>
        <w:jc w:val="both"/>
        <w:rPr>
          <w:sz w:val="24"/>
          <w:szCs w:val="24"/>
          <w:lang w:eastAsia="lt-LT"/>
        </w:rPr>
      </w:pPr>
      <w:r w:rsidRPr="00212CD1">
        <w:rPr>
          <w:sz w:val="24"/>
          <w:szCs w:val="24"/>
          <w:lang w:eastAsia="lt-LT"/>
        </w:rPr>
        <w:t>2020 metais buvo paimtos ir negrąžintos 900,0 tūkst. eurų ir 562,0 0 tūkst. eurų Lietuvos Respublikos finansų ministerijos trumpalaikės paskolos, kurios buvo naudojamos biudžetinių įstaigų darbuotojų darbo užmokesčiui ir socialinio draudimo įmokoms.</w:t>
      </w:r>
    </w:p>
    <w:p w:rsidR="0000179A" w:rsidRPr="00212CD1" w:rsidRDefault="0000179A" w:rsidP="0000179A">
      <w:pPr>
        <w:ind w:firstLine="720"/>
        <w:jc w:val="both"/>
        <w:rPr>
          <w:sz w:val="24"/>
          <w:szCs w:val="24"/>
          <w:lang w:eastAsia="lt-LT"/>
        </w:rPr>
      </w:pPr>
      <w:r w:rsidRPr="00212CD1">
        <w:rPr>
          <w:sz w:val="24"/>
          <w:szCs w:val="24"/>
          <w:lang w:eastAsia="lt-LT"/>
        </w:rPr>
        <w:t>2021 metais buvo grąžintos abi trumpalaikės paskolos (793,8 tūkst. eurų buvo grąžinti iš dotacijos, skirtos 2020 metais negautoms pajamoms padengti, 668,2 tūkst. eurų – iš Savivaldybės biudžeto)</w:t>
      </w:r>
      <w:r w:rsidR="00914296">
        <w:rPr>
          <w:sz w:val="24"/>
          <w:szCs w:val="24"/>
          <w:lang w:eastAsia="lt-LT"/>
        </w:rPr>
        <w:t>.</w:t>
      </w:r>
    </w:p>
    <w:p w:rsidR="0000179A" w:rsidRPr="00212CD1" w:rsidRDefault="0000179A" w:rsidP="0000179A">
      <w:pPr>
        <w:ind w:firstLine="720"/>
        <w:jc w:val="both"/>
        <w:rPr>
          <w:sz w:val="24"/>
          <w:szCs w:val="24"/>
          <w:lang w:eastAsia="lt-LT"/>
        </w:rPr>
      </w:pPr>
      <w:r w:rsidRPr="00212CD1">
        <w:rPr>
          <w:sz w:val="24"/>
          <w:szCs w:val="24"/>
          <w:lang w:eastAsia="lt-LT"/>
        </w:rPr>
        <w:t xml:space="preserve">Negrąžintų ilgalaikių paskolų likutis 2021 m. gruodžio 31 d. buvo 7 295,2 tūkst. eurų (2020 metų pradžioje ilgalaikių paskolų likutis buvo 6 712,6 tūkst. eurų). </w:t>
      </w:r>
    </w:p>
    <w:p w:rsidR="0000179A" w:rsidRPr="00212CD1" w:rsidRDefault="0000179A" w:rsidP="0000179A">
      <w:pPr>
        <w:ind w:firstLine="720"/>
        <w:jc w:val="both"/>
        <w:rPr>
          <w:sz w:val="24"/>
          <w:szCs w:val="24"/>
          <w:lang w:eastAsia="lt-LT"/>
        </w:rPr>
      </w:pPr>
      <w:r w:rsidRPr="00212CD1">
        <w:rPr>
          <w:sz w:val="24"/>
          <w:szCs w:val="24"/>
          <w:lang w:eastAsia="lt-LT"/>
        </w:rPr>
        <w:t xml:space="preserve">Ilgalaikių paskolų likutis padidėjo 582,6 tūkst. eurų, nes Savivaldybė pasinaudojo galimybe daugiau skolintis pagal Fiskalinės  sutarties įgyvendinimo konstitucinio įstatymo 4 straipsnio 4 dalį ir </w:t>
      </w:r>
      <w:r w:rsidR="00914296">
        <w:rPr>
          <w:sz w:val="24"/>
          <w:szCs w:val="24"/>
          <w:lang w:eastAsia="lt-LT"/>
        </w:rPr>
        <w:t>S</w:t>
      </w:r>
      <w:r w:rsidRPr="00212CD1">
        <w:rPr>
          <w:sz w:val="24"/>
          <w:szCs w:val="24"/>
          <w:lang w:eastAsia="lt-LT"/>
        </w:rPr>
        <w:t>avivaldybės išlaidos 1,5 procento galėjo viršyti pajamas</w:t>
      </w:r>
      <w:r w:rsidR="00914296">
        <w:rPr>
          <w:sz w:val="24"/>
          <w:szCs w:val="24"/>
          <w:lang w:eastAsia="lt-LT"/>
        </w:rPr>
        <w:t>.</w:t>
      </w:r>
    </w:p>
    <w:p w:rsidR="00750115" w:rsidRPr="00212CD1" w:rsidRDefault="00750115" w:rsidP="0000179A">
      <w:pPr>
        <w:ind w:firstLine="720"/>
        <w:jc w:val="both"/>
        <w:rPr>
          <w:sz w:val="24"/>
          <w:szCs w:val="24"/>
          <w:lang w:eastAsia="lt-LT"/>
        </w:rPr>
      </w:pPr>
    </w:p>
    <w:p w:rsidR="00750115" w:rsidRPr="00212CD1" w:rsidRDefault="00750115" w:rsidP="0000179A">
      <w:pPr>
        <w:ind w:firstLine="720"/>
        <w:jc w:val="both"/>
        <w:rPr>
          <w:sz w:val="24"/>
          <w:szCs w:val="24"/>
          <w:lang w:eastAsia="lt-LT"/>
        </w:rPr>
      </w:pPr>
    </w:p>
    <w:p w:rsidR="0000179A" w:rsidRPr="00212CD1" w:rsidRDefault="0000179A" w:rsidP="0000179A">
      <w:pPr>
        <w:ind w:firstLine="720"/>
        <w:jc w:val="both"/>
        <w:rPr>
          <w:sz w:val="24"/>
          <w:szCs w:val="24"/>
          <w:lang w:eastAsia="lt-LT"/>
        </w:rPr>
      </w:pPr>
      <w:r w:rsidRPr="00212CD1">
        <w:rPr>
          <w:noProof/>
          <w:sz w:val="24"/>
          <w:szCs w:val="24"/>
          <w:lang w:eastAsia="lt-LT"/>
        </w:rPr>
        <w:lastRenderedPageBreak/>
        <w:drawing>
          <wp:inline distT="0" distB="0" distL="0" distR="0" wp14:anchorId="1D1B3395" wp14:editId="3796AAC7">
            <wp:extent cx="5865684" cy="2917825"/>
            <wp:effectExtent l="0" t="0" r="1905" b="0"/>
            <wp:docPr id="10" name="Chart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00179A" w:rsidRPr="00212CD1" w:rsidRDefault="0000179A" w:rsidP="0000179A">
      <w:pPr>
        <w:ind w:firstLine="720"/>
        <w:jc w:val="both"/>
        <w:rPr>
          <w:sz w:val="24"/>
          <w:szCs w:val="24"/>
          <w:lang w:eastAsia="lt-LT"/>
        </w:rPr>
      </w:pPr>
    </w:p>
    <w:p w:rsidR="0000179A" w:rsidRPr="006F78A6" w:rsidRDefault="00BF05E4" w:rsidP="0000179A">
      <w:pPr>
        <w:ind w:firstLine="720"/>
        <w:jc w:val="center"/>
        <w:rPr>
          <w:b/>
          <w:sz w:val="24"/>
          <w:szCs w:val="24"/>
          <w:lang w:eastAsia="lt-LT"/>
        </w:rPr>
      </w:pPr>
      <w:r w:rsidRPr="006F78A6">
        <w:rPr>
          <w:b/>
          <w:sz w:val="24"/>
          <w:szCs w:val="24"/>
          <w:lang w:eastAsia="lt-LT"/>
        </w:rPr>
        <w:t xml:space="preserve">11 </w:t>
      </w:r>
      <w:r w:rsidR="0000179A" w:rsidRPr="006F78A6">
        <w:rPr>
          <w:b/>
          <w:sz w:val="24"/>
          <w:szCs w:val="24"/>
          <w:lang w:eastAsia="lt-LT"/>
        </w:rPr>
        <w:t>pav. Paskolų likučio dinamika 2017–2021 m. pabaigoje</w:t>
      </w:r>
      <w:r w:rsidR="00E23F5B" w:rsidRPr="006F78A6">
        <w:rPr>
          <w:b/>
          <w:sz w:val="24"/>
          <w:szCs w:val="24"/>
          <w:lang w:eastAsia="lt-LT"/>
        </w:rPr>
        <w:t>, tūkst. eurų</w:t>
      </w:r>
    </w:p>
    <w:p w:rsidR="0000179A" w:rsidRPr="00212CD1" w:rsidRDefault="0000179A" w:rsidP="0000179A">
      <w:pPr>
        <w:ind w:firstLine="720"/>
        <w:jc w:val="center"/>
        <w:rPr>
          <w:sz w:val="24"/>
          <w:szCs w:val="24"/>
          <w:lang w:eastAsia="lt-LT"/>
        </w:rPr>
      </w:pPr>
    </w:p>
    <w:p w:rsidR="0000179A" w:rsidRPr="00212CD1" w:rsidRDefault="0000179A" w:rsidP="0000179A">
      <w:pPr>
        <w:ind w:firstLine="720"/>
        <w:jc w:val="both"/>
        <w:rPr>
          <w:sz w:val="24"/>
          <w:szCs w:val="24"/>
          <w:lang w:eastAsia="lt-LT"/>
        </w:rPr>
      </w:pPr>
      <w:r w:rsidRPr="00212CD1">
        <w:rPr>
          <w:sz w:val="24"/>
          <w:szCs w:val="24"/>
          <w:lang w:eastAsia="lt-LT"/>
        </w:rPr>
        <w:t xml:space="preserve">Per 2021 metus grąžinta komerciniams bankams ir Finansų ministerijai 3 820,8 tūkst. eurų ilgalaikių paskolų (iš jų – 2685,2 tūkst. eurų iš skolintų lėšų perskolinta paskola). Perskolinus paskolą, 2021 m. sutaupyta 6,5 tūkst. eurų biudžeto lėšų, o per aštuonerius metus, kol bus grąžinta visa paskola, bus sutaupyta 84,4 tūkst. eurų. </w:t>
      </w:r>
    </w:p>
    <w:p w:rsidR="0000179A" w:rsidRPr="00212CD1" w:rsidRDefault="0000179A" w:rsidP="0000179A">
      <w:pPr>
        <w:ind w:firstLine="720"/>
        <w:jc w:val="both"/>
        <w:rPr>
          <w:sz w:val="24"/>
          <w:szCs w:val="24"/>
          <w:lang w:eastAsia="lt-LT"/>
        </w:rPr>
      </w:pPr>
      <w:r w:rsidRPr="00212CD1">
        <w:rPr>
          <w:sz w:val="24"/>
          <w:szCs w:val="24"/>
          <w:lang w:eastAsia="lt-LT"/>
        </w:rPr>
        <w:t>Per 2021 metus buvo sumokėta 62,9 tūkst. eurų palūkanų (per 2020 metus buvo sumokėta 55,0 tūkst. eurų palūkanų). Jeigu nebūtų 2021 m. rugsėjo mėnesį perskolinta paskola (2685.3 tūkst. eurų), palūkanų būtų sumokėta dar 6,5 tūkst. eurų d</w:t>
      </w:r>
      <w:r w:rsidR="00E23F5B" w:rsidRPr="00212CD1">
        <w:rPr>
          <w:sz w:val="24"/>
          <w:szCs w:val="24"/>
          <w:lang w:eastAsia="lt-LT"/>
        </w:rPr>
        <w:t>a</w:t>
      </w:r>
      <w:r w:rsidRPr="00212CD1">
        <w:rPr>
          <w:sz w:val="24"/>
          <w:szCs w:val="24"/>
          <w:lang w:eastAsia="lt-LT"/>
        </w:rPr>
        <w:t>ugiau, nes paskola, kuri buvo perskolinta, buvo suteikta didesnėmis palūkanomis.</w:t>
      </w:r>
    </w:p>
    <w:p w:rsidR="0000179A" w:rsidRPr="00212CD1" w:rsidRDefault="0000179A" w:rsidP="0000179A">
      <w:pPr>
        <w:ind w:firstLine="720"/>
        <w:jc w:val="both"/>
        <w:rPr>
          <w:sz w:val="24"/>
          <w:szCs w:val="24"/>
          <w:lang w:eastAsia="lt-LT"/>
        </w:rPr>
      </w:pPr>
    </w:p>
    <w:p w:rsidR="0000179A" w:rsidRPr="00212CD1" w:rsidRDefault="0000179A" w:rsidP="0000179A">
      <w:pPr>
        <w:jc w:val="both"/>
        <w:rPr>
          <w:sz w:val="24"/>
          <w:szCs w:val="24"/>
          <w:lang w:eastAsia="lt-LT"/>
        </w:rPr>
      </w:pPr>
      <w:r w:rsidRPr="00212CD1">
        <w:rPr>
          <w:noProof/>
          <w:sz w:val="24"/>
          <w:szCs w:val="24"/>
          <w:lang w:eastAsia="lt-LT"/>
        </w:rPr>
        <w:drawing>
          <wp:inline distT="0" distB="0" distL="0" distR="0" wp14:anchorId="2A22715B" wp14:editId="06637A77">
            <wp:extent cx="6138153" cy="3511550"/>
            <wp:effectExtent l="0" t="0" r="0" b="0"/>
            <wp:docPr id="8" name="Chart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6F78A6" w:rsidRDefault="006F78A6" w:rsidP="0000179A">
      <w:pPr>
        <w:ind w:firstLine="720"/>
        <w:jc w:val="center"/>
        <w:rPr>
          <w:sz w:val="24"/>
          <w:szCs w:val="24"/>
          <w:lang w:eastAsia="lt-LT"/>
        </w:rPr>
      </w:pPr>
    </w:p>
    <w:p w:rsidR="0000179A" w:rsidRPr="006F78A6" w:rsidRDefault="00BF05E4" w:rsidP="0000179A">
      <w:pPr>
        <w:ind w:firstLine="720"/>
        <w:jc w:val="center"/>
        <w:rPr>
          <w:b/>
          <w:sz w:val="24"/>
          <w:szCs w:val="24"/>
          <w:lang w:eastAsia="lt-LT"/>
        </w:rPr>
      </w:pPr>
      <w:r w:rsidRPr="006F78A6">
        <w:rPr>
          <w:b/>
          <w:sz w:val="24"/>
          <w:szCs w:val="24"/>
          <w:lang w:eastAsia="lt-LT"/>
        </w:rPr>
        <w:t xml:space="preserve">12 </w:t>
      </w:r>
      <w:r w:rsidR="0000179A" w:rsidRPr="006F78A6">
        <w:rPr>
          <w:b/>
          <w:sz w:val="24"/>
          <w:szCs w:val="24"/>
          <w:lang w:eastAsia="lt-LT"/>
        </w:rPr>
        <w:t>pav. Palūkanų mokėjimo dinamika 2017–2021 m.</w:t>
      </w:r>
      <w:r w:rsidR="00E1181A" w:rsidRPr="006F78A6">
        <w:rPr>
          <w:b/>
          <w:sz w:val="24"/>
          <w:szCs w:val="24"/>
          <w:lang w:eastAsia="lt-LT"/>
        </w:rPr>
        <w:t xml:space="preserve"> tūkst. eurų</w:t>
      </w:r>
    </w:p>
    <w:p w:rsidR="0000179A" w:rsidRPr="00212CD1" w:rsidRDefault="0000179A" w:rsidP="0000179A">
      <w:pPr>
        <w:ind w:firstLine="720"/>
        <w:jc w:val="center"/>
        <w:rPr>
          <w:sz w:val="24"/>
          <w:szCs w:val="24"/>
          <w:lang w:eastAsia="lt-LT"/>
        </w:rPr>
      </w:pPr>
    </w:p>
    <w:p w:rsidR="0000179A" w:rsidRPr="007A71C8" w:rsidRDefault="0000179A" w:rsidP="0000179A">
      <w:pPr>
        <w:ind w:firstLine="720"/>
        <w:jc w:val="center"/>
        <w:rPr>
          <w:sz w:val="24"/>
          <w:szCs w:val="24"/>
          <w:lang w:eastAsia="lt-LT"/>
        </w:rPr>
      </w:pPr>
    </w:p>
    <w:p w:rsidR="0000179A" w:rsidRPr="00212CD1" w:rsidRDefault="0000179A" w:rsidP="0000179A">
      <w:pPr>
        <w:ind w:firstLine="720"/>
        <w:jc w:val="both"/>
        <w:rPr>
          <w:sz w:val="24"/>
          <w:szCs w:val="24"/>
          <w:lang w:eastAsia="lt-LT"/>
        </w:rPr>
      </w:pPr>
      <w:r w:rsidRPr="00212CD1">
        <w:rPr>
          <w:sz w:val="24"/>
          <w:szCs w:val="24"/>
          <w:lang w:eastAsia="lt-LT"/>
        </w:rPr>
        <w:lastRenderedPageBreak/>
        <w:t xml:space="preserve">Savivaldybė 2021 metų pabaigoje turėjo 8 pasirašytas sutartis su komerciniais bankais ir Finansų ministerija dėl ilgalaikių paskolų. 2021 metų pradžioje baigta grąžinti viena ilgalaikė paskola, viena paskola buvo perskolinta. Pagal dabar pasirašytas sutartis atidavimas bus vykdomas iki 2032 metų. </w:t>
      </w:r>
    </w:p>
    <w:p w:rsidR="0000179A" w:rsidRPr="00212CD1" w:rsidRDefault="0000179A" w:rsidP="0000179A">
      <w:pPr>
        <w:ind w:firstLine="720"/>
        <w:jc w:val="both"/>
        <w:rPr>
          <w:sz w:val="24"/>
          <w:szCs w:val="24"/>
          <w:lang w:eastAsia="lt-LT"/>
        </w:rPr>
      </w:pPr>
      <w:r w:rsidRPr="00212CD1">
        <w:rPr>
          <w:sz w:val="24"/>
          <w:szCs w:val="24"/>
          <w:lang w:eastAsia="lt-LT"/>
        </w:rPr>
        <w:t xml:space="preserve">Paimtų ilgalaikių paskolų atidavimas iki 2032 metų parodytas </w:t>
      </w:r>
      <w:r w:rsidR="00212CD1">
        <w:rPr>
          <w:sz w:val="24"/>
          <w:szCs w:val="24"/>
          <w:lang w:eastAsia="lt-LT"/>
        </w:rPr>
        <w:t xml:space="preserve">7 </w:t>
      </w:r>
      <w:r w:rsidRPr="00212CD1">
        <w:rPr>
          <w:sz w:val="24"/>
          <w:szCs w:val="24"/>
          <w:lang w:eastAsia="lt-LT"/>
        </w:rPr>
        <w:t xml:space="preserve">lentelėje. </w:t>
      </w:r>
    </w:p>
    <w:p w:rsidR="0000179A" w:rsidRPr="00212CD1" w:rsidRDefault="0000179A" w:rsidP="0000179A">
      <w:pPr>
        <w:ind w:firstLine="720"/>
        <w:jc w:val="both"/>
        <w:rPr>
          <w:sz w:val="24"/>
          <w:szCs w:val="24"/>
          <w:lang w:eastAsia="lt-LT"/>
        </w:rPr>
      </w:pPr>
      <w:r w:rsidRPr="00212CD1">
        <w:rPr>
          <w:sz w:val="24"/>
          <w:szCs w:val="24"/>
          <w:lang w:eastAsia="lt-LT"/>
        </w:rPr>
        <w:t xml:space="preserve">Lentelėje nurodytas ir paskolos, dėl kurios 2022 metų pradžioje </w:t>
      </w:r>
      <w:r w:rsidR="00842E57" w:rsidRPr="00212CD1">
        <w:rPr>
          <w:sz w:val="24"/>
          <w:szCs w:val="24"/>
          <w:lang w:eastAsia="lt-LT"/>
        </w:rPr>
        <w:t>pasirašyta sutartis</w:t>
      </w:r>
      <w:r w:rsidRPr="00212CD1">
        <w:rPr>
          <w:sz w:val="24"/>
          <w:szCs w:val="24"/>
          <w:lang w:eastAsia="lt-LT"/>
        </w:rPr>
        <w:t xml:space="preserve">, grąžinimas. </w:t>
      </w:r>
    </w:p>
    <w:p w:rsidR="001E7335" w:rsidRPr="00212CD1" w:rsidRDefault="001E7335" w:rsidP="0000179A">
      <w:pPr>
        <w:ind w:firstLine="720"/>
        <w:jc w:val="right"/>
        <w:rPr>
          <w:sz w:val="24"/>
          <w:szCs w:val="24"/>
          <w:lang w:eastAsia="lt-LT"/>
        </w:rPr>
      </w:pPr>
    </w:p>
    <w:p w:rsidR="0000179A" w:rsidRPr="00212CD1" w:rsidRDefault="00212CD1" w:rsidP="00C055F8">
      <w:pPr>
        <w:ind w:firstLine="720"/>
        <w:jc w:val="center"/>
        <w:rPr>
          <w:b/>
          <w:sz w:val="24"/>
          <w:szCs w:val="24"/>
          <w:lang w:eastAsia="lt-LT"/>
        </w:rPr>
      </w:pPr>
      <w:r>
        <w:rPr>
          <w:b/>
          <w:sz w:val="24"/>
          <w:szCs w:val="24"/>
          <w:lang w:eastAsia="lt-LT"/>
        </w:rPr>
        <w:t xml:space="preserve">7 </w:t>
      </w:r>
      <w:r w:rsidR="0000179A" w:rsidRPr="00212CD1">
        <w:rPr>
          <w:b/>
          <w:sz w:val="24"/>
          <w:szCs w:val="24"/>
          <w:lang w:eastAsia="lt-LT"/>
        </w:rPr>
        <w:t>lentelė</w:t>
      </w:r>
      <w:r w:rsidR="00C055F8" w:rsidRPr="00212CD1">
        <w:rPr>
          <w:b/>
          <w:sz w:val="24"/>
          <w:szCs w:val="24"/>
          <w:lang w:eastAsia="lt-LT"/>
        </w:rPr>
        <w:t xml:space="preserve"> </w:t>
      </w:r>
      <w:r>
        <w:rPr>
          <w:b/>
          <w:sz w:val="24"/>
          <w:szCs w:val="24"/>
          <w:lang w:eastAsia="lt-LT"/>
        </w:rPr>
        <w:t>Pa</w:t>
      </w:r>
      <w:r w:rsidR="00C055F8" w:rsidRPr="00212CD1">
        <w:rPr>
          <w:b/>
          <w:sz w:val="24"/>
          <w:szCs w:val="24"/>
          <w:lang w:eastAsia="lt-LT"/>
        </w:rPr>
        <w:t>imtų ilgalaikių paskolų atidavimas iki 2032 metų</w:t>
      </w:r>
    </w:p>
    <w:p w:rsidR="0000179A" w:rsidRPr="00212CD1" w:rsidRDefault="0000179A" w:rsidP="0000179A">
      <w:pPr>
        <w:rPr>
          <w:sz w:val="24"/>
          <w:szCs w:val="24"/>
          <w:lang w:eastAsia="lt-LT"/>
        </w:rPr>
      </w:pPr>
    </w:p>
    <w:p w:rsidR="0000179A" w:rsidRPr="00212CD1" w:rsidRDefault="002C04D7" w:rsidP="002C04D7">
      <w:pPr>
        <w:jc w:val="both"/>
        <w:rPr>
          <w:sz w:val="24"/>
          <w:szCs w:val="24"/>
          <w:lang w:eastAsia="lt-LT"/>
        </w:rPr>
      </w:pPr>
      <w:r w:rsidRPr="00212CD1">
        <w:rPr>
          <w:noProof/>
          <w:sz w:val="22"/>
          <w:szCs w:val="22"/>
          <w:lang w:eastAsia="lt-LT"/>
        </w:rPr>
        <w:drawing>
          <wp:inline distT="0" distB="0" distL="0" distR="0">
            <wp:extent cx="6119766" cy="3511685"/>
            <wp:effectExtent l="0" t="0" r="0" b="0"/>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6892" cy="3515774"/>
                    </a:xfrm>
                    <a:prstGeom prst="rect">
                      <a:avLst/>
                    </a:prstGeom>
                    <a:noFill/>
                    <a:ln>
                      <a:noFill/>
                    </a:ln>
                  </pic:spPr>
                </pic:pic>
              </a:graphicData>
            </a:graphic>
          </wp:inline>
        </w:drawing>
      </w:r>
    </w:p>
    <w:p w:rsidR="002C04D7" w:rsidRPr="00212CD1" w:rsidRDefault="002C04D7" w:rsidP="0000179A">
      <w:pPr>
        <w:ind w:firstLine="720"/>
        <w:jc w:val="both"/>
        <w:rPr>
          <w:sz w:val="24"/>
          <w:szCs w:val="24"/>
          <w:lang w:eastAsia="lt-LT"/>
        </w:rPr>
      </w:pPr>
    </w:p>
    <w:p w:rsidR="0000179A" w:rsidRPr="00212CD1" w:rsidRDefault="0000179A" w:rsidP="0000179A">
      <w:pPr>
        <w:ind w:firstLine="720"/>
        <w:jc w:val="both"/>
        <w:rPr>
          <w:sz w:val="24"/>
          <w:szCs w:val="24"/>
          <w:lang w:eastAsia="lt-LT"/>
        </w:rPr>
      </w:pPr>
      <w:r w:rsidRPr="00212CD1">
        <w:rPr>
          <w:sz w:val="24"/>
          <w:szCs w:val="24"/>
          <w:lang w:eastAsia="lt-LT"/>
        </w:rPr>
        <w:t>Savivaldybės įmonių paskolų, kurioms suteiktos garantijos, likutis 2021 m. gruodžio 31 d. sudarė 1332,1 tūkst. eurų.</w:t>
      </w:r>
    </w:p>
    <w:p w:rsidR="0000179A" w:rsidRPr="00212CD1" w:rsidRDefault="0000179A" w:rsidP="0000179A">
      <w:pPr>
        <w:ind w:firstLine="720"/>
        <w:jc w:val="both"/>
        <w:rPr>
          <w:sz w:val="24"/>
          <w:szCs w:val="24"/>
          <w:lang w:eastAsia="lt-LT"/>
        </w:rPr>
      </w:pPr>
      <w:r w:rsidRPr="00212CD1">
        <w:rPr>
          <w:sz w:val="24"/>
          <w:szCs w:val="24"/>
          <w:lang w:eastAsia="lt-LT"/>
        </w:rPr>
        <w:t>Savivaldybės skola neviršija finansinių rodiklių įstatymu nustatyto skolinimosi limito.</w:t>
      </w:r>
    </w:p>
    <w:p w:rsidR="00842E57" w:rsidRPr="00212CD1" w:rsidRDefault="00842E57" w:rsidP="0000179A">
      <w:pPr>
        <w:ind w:firstLine="720"/>
        <w:jc w:val="both"/>
        <w:rPr>
          <w:sz w:val="24"/>
          <w:szCs w:val="24"/>
          <w:lang w:eastAsia="lt-LT"/>
        </w:rPr>
      </w:pPr>
      <w:r w:rsidRPr="00212CD1">
        <w:rPr>
          <w:sz w:val="24"/>
          <w:szCs w:val="24"/>
          <w:lang w:eastAsia="lt-LT"/>
        </w:rPr>
        <w:t xml:space="preserve">2021 m. strateginiame veiklos plane buvo nauja priemonė „VIPA dotacijos grąžinimas“. Dotacijos iš VIPA skiriamos nuosavam indėliui prie ES lėšomis finansuojamų savivaldybių įgyvendinamų projektų. Ši dotacija skiriama tais atvejais, kai savivaldybės neturi galimybių finansuoti projektų skolintomis lėšomis, nes viršytų įstatymuose numatytus skolinimosi limitus. </w:t>
      </w:r>
      <w:r w:rsidR="004C77FE" w:rsidRPr="00212CD1">
        <w:rPr>
          <w:sz w:val="24"/>
          <w:szCs w:val="24"/>
          <w:lang w:eastAsia="lt-LT"/>
        </w:rPr>
        <w:t xml:space="preserve">Įgyvendinus projektus, grąžintiną dotacijos sumą nustato UAB VIPA vadovaudamasi nustatyta vertinimo metodika. </w:t>
      </w:r>
      <w:r w:rsidRPr="00212CD1">
        <w:rPr>
          <w:sz w:val="24"/>
          <w:szCs w:val="24"/>
          <w:lang w:eastAsia="lt-LT"/>
        </w:rPr>
        <w:t>Dotacijos pradedamos grąžinti ateinančiais metais pasibaigus projektui pagal patvirtintus grafikus. Per 2021 metus grąžinta 27,8 tūkst. VIPA dotacijų.</w:t>
      </w:r>
    </w:p>
    <w:p w:rsidR="00842E57" w:rsidRPr="00212CD1" w:rsidRDefault="00212CD1" w:rsidP="0000179A">
      <w:pPr>
        <w:ind w:firstLine="720"/>
        <w:jc w:val="both"/>
        <w:rPr>
          <w:sz w:val="24"/>
          <w:szCs w:val="24"/>
          <w:lang w:eastAsia="lt-LT"/>
        </w:rPr>
      </w:pPr>
      <w:r>
        <w:rPr>
          <w:sz w:val="24"/>
          <w:szCs w:val="24"/>
          <w:lang w:eastAsia="lt-LT"/>
        </w:rPr>
        <w:t>8</w:t>
      </w:r>
      <w:r w:rsidR="00842E57" w:rsidRPr="00212CD1">
        <w:rPr>
          <w:sz w:val="24"/>
          <w:szCs w:val="24"/>
          <w:lang w:eastAsia="lt-LT"/>
        </w:rPr>
        <w:t xml:space="preserve"> lentelėje </w:t>
      </w:r>
      <w:r w:rsidR="005F70CC" w:rsidRPr="00212CD1">
        <w:rPr>
          <w:sz w:val="24"/>
          <w:szCs w:val="24"/>
          <w:lang w:eastAsia="lt-LT"/>
        </w:rPr>
        <w:t xml:space="preserve">parodyta </w:t>
      </w:r>
      <w:r w:rsidR="00091F24" w:rsidRPr="00212CD1">
        <w:rPr>
          <w:sz w:val="24"/>
          <w:szCs w:val="24"/>
          <w:lang w:eastAsia="lt-LT"/>
        </w:rPr>
        <w:t>informacija apie gautų VIPA dotacijų grąžinimą.</w:t>
      </w:r>
      <w:r w:rsidR="00C73C81" w:rsidRPr="00212CD1">
        <w:rPr>
          <w:sz w:val="24"/>
          <w:szCs w:val="24"/>
          <w:lang w:eastAsia="lt-LT"/>
        </w:rPr>
        <w:t xml:space="preserve"> </w:t>
      </w:r>
    </w:p>
    <w:p w:rsidR="00091F24" w:rsidRDefault="00C73C81" w:rsidP="0000179A">
      <w:pPr>
        <w:ind w:firstLine="720"/>
        <w:jc w:val="both"/>
        <w:rPr>
          <w:sz w:val="24"/>
          <w:szCs w:val="24"/>
          <w:lang w:eastAsia="lt-LT"/>
        </w:rPr>
      </w:pPr>
      <w:r w:rsidRPr="00212CD1">
        <w:rPr>
          <w:sz w:val="24"/>
          <w:szCs w:val="24"/>
          <w:lang w:eastAsia="lt-LT"/>
        </w:rPr>
        <w:t>Iš lentelės matome, kad</w:t>
      </w:r>
      <w:r w:rsidR="004C77FE" w:rsidRPr="00212CD1">
        <w:rPr>
          <w:sz w:val="24"/>
          <w:szCs w:val="24"/>
          <w:lang w:eastAsia="lt-LT"/>
        </w:rPr>
        <w:t xml:space="preserve"> grąžintina dotacijos suma skiriasi nuo sumos, kuri buvo VIPA skirta, nes įgyvendinus projektą, grąžintiną dotacijos sumą nustato UAB VIPA vadovaudamasi vertinimo metodika.</w:t>
      </w:r>
      <w:r w:rsidR="00D1727F">
        <w:rPr>
          <w:sz w:val="24"/>
          <w:szCs w:val="24"/>
          <w:lang w:eastAsia="lt-LT"/>
        </w:rPr>
        <w:t xml:space="preserve"> </w:t>
      </w:r>
    </w:p>
    <w:p w:rsidR="00091F24" w:rsidRDefault="00091F24" w:rsidP="00091F24">
      <w:pPr>
        <w:ind w:firstLine="720"/>
        <w:jc w:val="right"/>
        <w:rPr>
          <w:sz w:val="24"/>
          <w:szCs w:val="24"/>
          <w:lang w:eastAsia="lt-LT"/>
        </w:rPr>
      </w:pPr>
    </w:p>
    <w:p w:rsidR="00091F24" w:rsidRDefault="00091F24" w:rsidP="00091F24">
      <w:pPr>
        <w:ind w:firstLine="720"/>
        <w:jc w:val="right"/>
        <w:rPr>
          <w:sz w:val="24"/>
          <w:szCs w:val="24"/>
          <w:lang w:eastAsia="lt-LT"/>
        </w:rPr>
      </w:pPr>
    </w:p>
    <w:p w:rsidR="00091F24" w:rsidRDefault="00091F24" w:rsidP="00091F24">
      <w:pPr>
        <w:ind w:firstLine="720"/>
        <w:jc w:val="right"/>
        <w:rPr>
          <w:sz w:val="24"/>
          <w:szCs w:val="24"/>
          <w:lang w:eastAsia="lt-LT"/>
        </w:rPr>
      </w:pPr>
    </w:p>
    <w:p w:rsidR="00D1727F" w:rsidRDefault="00D1727F" w:rsidP="00091F24">
      <w:pPr>
        <w:ind w:firstLine="720"/>
        <w:jc w:val="right"/>
        <w:rPr>
          <w:sz w:val="24"/>
          <w:szCs w:val="24"/>
          <w:lang w:eastAsia="lt-LT"/>
        </w:rPr>
      </w:pPr>
    </w:p>
    <w:p w:rsidR="00C055F8" w:rsidRDefault="00C055F8" w:rsidP="00091F24">
      <w:pPr>
        <w:ind w:firstLine="720"/>
        <w:jc w:val="right"/>
        <w:rPr>
          <w:sz w:val="24"/>
          <w:szCs w:val="24"/>
          <w:lang w:eastAsia="lt-LT"/>
        </w:rPr>
      </w:pPr>
    </w:p>
    <w:p w:rsidR="00C055F8" w:rsidRDefault="00C055F8" w:rsidP="00091F24">
      <w:pPr>
        <w:ind w:firstLine="720"/>
        <w:jc w:val="right"/>
        <w:rPr>
          <w:sz w:val="24"/>
          <w:szCs w:val="24"/>
          <w:lang w:eastAsia="lt-LT"/>
        </w:rPr>
      </w:pPr>
    </w:p>
    <w:p w:rsidR="00C055F8" w:rsidRDefault="00C055F8" w:rsidP="00091F24">
      <w:pPr>
        <w:ind w:firstLine="720"/>
        <w:jc w:val="right"/>
        <w:rPr>
          <w:sz w:val="24"/>
          <w:szCs w:val="24"/>
          <w:lang w:eastAsia="lt-LT"/>
        </w:rPr>
      </w:pPr>
    </w:p>
    <w:p w:rsidR="00C055F8" w:rsidRDefault="00C055F8" w:rsidP="00091F24">
      <w:pPr>
        <w:ind w:firstLine="720"/>
        <w:jc w:val="right"/>
        <w:rPr>
          <w:sz w:val="24"/>
          <w:szCs w:val="24"/>
          <w:lang w:eastAsia="lt-LT"/>
        </w:rPr>
      </w:pPr>
    </w:p>
    <w:p w:rsidR="00C055F8" w:rsidRDefault="00C055F8" w:rsidP="00091F24">
      <w:pPr>
        <w:ind w:firstLine="720"/>
        <w:jc w:val="right"/>
        <w:rPr>
          <w:sz w:val="24"/>
          <w:szCs w:val="24"/>
          <w:lang w:eastAsia="lt-LT"/>
        </w:rPr>
      </w:pPr>
    </w:p>
    <w:p w:rsidR="00091F24" w:rsidRPr="00B2037C" w:rsidRDefault="00212CD1" w:rsidP="00B2037C">
      <w:pPr>
        <w:ind w:firstLine="720"/>
        <w:jc w:val="center"/>
        <w:rPr>
          <w:b/>
          <w:sz w:val="24"/>
          <w:szCs w:val="24"/>
          <w:lang w:eastAsia="lt-LT"/>
        </w:rPr>
      </w:pPr>
      <w:r>
        <w:rPr>
          <w:b/>
          <w:sz w:val="24"/>
          <w:szCs w:val="24"/>
          <w:lang w:eastAsia="lt-LT"/>
        </w:rPr>
        <w:t xml:space="preserve">8 </w:t>
      </w:r>
      <w:r w:rsidR="00091F24" w:rsidRPr="00B2037C">
        <w:rPr>
          <w:b/>
          <w:sz w:val="24"/>
          <w:szCs w:val="24"/>
          <w:lang w:eastAsia="lt-LT"/>
        </w:rPr>
        <w:t xml:space="preserve">lentelė </w:t>
      </w:r>
      <w:r w:rsidR="00B2037C" w:rsidRPr="00B2037C">
        <w:rPr>
          <w:b/>
          <w:sz w:val="24"/>
          <w:szCs w:val="24"/>
          <w:lang w:eastAsia="lt-LT"/>
        </w:rPr>
        <w:t>Priemonė "VIPA dotacijos grąžinimas"</w:t>
      </w:r>
    </w:p>
    <w:p w:rsidR="0000179A" w:rsidRPr="0000179A" w:rsidRDefault="0000179A" w:rsidP="0000179A">
      <w:pPr>
        <w:ind w:firstLine="720"/>
        <w:jc w:val="both"/>
        <w:rPr>
          <w:sz w:val="24"/>
          <w:szCs w:val="24"/>
          <w:lang w:eastAsia="lt-LT"/>
        </w:rPr>
      </w:pPr>
    </w:p>
    <w:p w:rsidR="0000179A" w:rsidRPr="0000179A" w:rsidRDefault="00B2037C" w:rsidP="0000179A">
      <w:pPr>
        <w:shd w:val="clear" w:color="auto" w:fill="FFFFFF"/>
        <w:jc w:val="center"/>
        <w:rPr>
          <w:sz w:val="24"/>
          <w:szCs w:val="24"/>
          <w:lang w:eastAsia="lt-LT"/>
        </w:rPr>
      </w:pPr>
      <w:r w:rsidRPr="00B2037C">
        <w:rPr>
          <w:noProof/>
          <w:lang w:eastAsia="lt-LT"/>
        </w:rPr>
        <w:drawing>
          <wp:inline distT="0" distB="0" distL="0" distR="0">
            <wp:extent cx="6120765" cy="2997578"/>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765" cy="2997578"/>
                    </a:xfrm>
                    <a:prstGeom prst="rect">
                      <a:avLst/>
                    </a:prstGeom>
                    <a:noFill/>
                    <a:ln>
                      <a:noFill/>
                    </a:ln>
                  </pic:spPr>
                </pic:pic>
              </a:graphicData>
            </a:graphic>
          </wp:inline>
        </w:drawing>
      </w:r>
      <w:r w:rsidR="00D1727F" w:rsidRPr="00D1727F">
        <w:t xml:space="preserve"> </w:t>
      </w:r>
    </w:p>
    <w:p w:rsidR="0000179A" w:rsidRPr="0000179A" w:rsidRDefault="0000179A" w:rsidP="0000179A">
      <w:pPr>
        <w:rPr>
          <w:sz w:val="24"/>
          <w:szCs w:val="24"/>
          <w:lang w:eastAsia="lt-LT"/>
        </w:rPr>
      </w:pPr>
    </w:p>
    <w:p w:rsidR="00941825" w:rsidRPr="002066F6" w:rsidRDefault="00941825" w:rsidP="002A1186">
      <w:pPr>
        <w:ind w:firstLine="720"/>
        <w:jc w:val="both"/>
        <w:rPr>
          <w:sz w:val="24"/>
          <w:szCs w:val="24"/>
        </w:rPr>
      </w:pPr>
    </w:p>
    <w:p w:rsidR="00490A89" w:rsidRPr="002066F6" w:rsidRDefault="00490A89" w:rsidP="00BD488F">
      <w:pPr>
        <w:jc w:val="both"/>
      </w:pPr>
    </w:p>
    <w:tbl>
      <w:tblPr>
        <w:tblW w:w="1134" w:type="dxa"/>
        <w:tblInd w:w="8340" w:type="dxa"/>
        <w:tblLayout w:type="fixed"/>
        <w:tblLook w:val="0000" w:firstRow="0" w:lastRow="0" w:firstColumn="0" w:lastColumn="0" w:noHBand="0" w:noVBand="0"/>
      </w:tblPr>
      <w:tblGrid>
        <w:gridCol w:w="1134"/>
      </w:tblGrid>
      <w:tr w:rsidR="00C942B3" w:rsidRPr="002066F6" w:rsidTr="005473E4">
        <w:trPr>
          <w:trHeight w:val="100"/>
        </w:trPr>
        <w:tc>
          <w:tcPr>
            <w:tcW w:w="1134" w:type="dxa"/>
          </w:tcPr>
          <w:p w:rsidR="00C942B3" w:rsidRPr="002066F6" w:rsidRDefault="00C942B3" w:rsidP="00D1293A">
            <w:pPr>
              <w:jc w:val="both"/>
              <w:rPr>
                <w:sz w:val="24"/>
                <w:szCs w:val="24"/>
              </w:rPr>
            </w:pPr>
          </w:p>
        </w:tc>
      </w:tr>
    </w:tbl>
    <w:p w:rsidR="0047321A" w:rsidRDefault="006C541A" w:rsidP="002A1186">
      <w:pPr>
        <w:jc w:val="both"/>
        <w:rPr>
          <w:sz w:val="24"/>
          <w:szCs w:val="24"/>
        </w:rPr>
      </w:pPr>
      <w:r w:rsidRPr="002066F6">
        <w:rPr>
          <w:sz w:val="24"/>
          <w:szCs w:val="24"/>
        </w:rPr>
        <w:t>Finansų ir biudžeto skyriaus vedėja</w:t>
      </w:r>
      <w:r w:rsidR="00BF05E4">
        <w:rPr>
          <w:sz w:val="24"/>
          <w:szCs w:val="24"/>
        </w:rPr>
        <w:t xml:space="preserve"> </w:t>
      </w:r>
      <w:r w:rsidRPr="002066F6">
        <w:rPr>
          <w:sz w:val="24"/>
          <w:szCs w:val="24"/>
        </w:rPr>
        <w:t>Daiva Mažeikienė</w:t>
      </w:r>
    </w:p>
    <w:p w:rsidR="00ED712B" w:rsidRDefault="00ED712B" w:rsidP="002A1186">
      <w:pPr>
        <w:jc w:val="both"/>
        <w:rPr>
          <w:sz w:val="24"/>
          <w:szCs w:val="24"/>
        </w:rPr>
      </w:pPr>
    </w:p>
    <w:p w:rsidR="00B41869" w:rsidRPr="00ED5612" w:rsidRDefault="006C541A" w:rsidP="002A1186">
      <w:pPr>
        <w:jc w:val="both"/>
        <w:rPr>
          <w:sz w:val="24"/>
          <w:szCs w:val="24"/>
        </w:rPr>
      </w:pPr>
      <w:r w:rsidRPr="00ED5612">
        <w:rPr>
          <w:sz w:val="24"/>
          <w:szCs w:val="24"/>
        </w:rPr>
        <w:t>Finansų ir biudžeto skyriaus vedėjo pavaduotoja</w:t>
      </w:r>
      <w:r w:rsidR="00BF05E4">
        <w:rPr>
          <w:sz w:val="24"/>
          <w:szCs w:val="24"/>
        </w:rPr>
        <w:t xml:space="preserve"> </w:t>
      </w:r>
      <w:r w:rsidRPr="00ED5612">
        <w:rPr>
          <w:sz w:val="24"/>
          <w:szCs w:val="24"/>
        </w:rPr>
        <w:t>Margarita Tamošauskienė</w:t>
      </w:r>
    </w:p>
    <w:sectPr w:rsidR="00B41869" w:rsidRPr="00ED5612" w:rsidSect="00FA4DF9">
      <w:headerReference w:type="even" r:id="rId23"/>
      <w:headerReference w:type="default" r:id="rId24"/>
      <w:footerReference w:type="even" r:id="rId25"/>
      <w:headerReference w:type="first" r:id="rId26"/>
      <w:pgSz w:w="11907" w:h="16840" w:code="9"/>
      <w:pgMar w:top="1134" w:right="567" w:bottom="1134" w:left="1701" w:header="454" w:footer="0" w:gutter="0"/>
      <w:pgNumType w:start="1"/>
      <w:cols w:space="1296"/>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9EA" w:rsidRDefault="00AE39EA">
      <w:r>
        <w:separator/>
      </w:r>
    </w:p>
  </w:endnote>
  <w:endnote w:type="continuationSeparator" w:id="0">
    <w:p w:rsidR="00AE39EA" w:rsidRDefault="00AE3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LT">
    <w:altName w:val="Arial"/>
    <w:charset w:val="BA"/>
    <w:family w:val="swiss"/>
    <w:pitch w:val="variable"/>
    <w:sig w:usb0="00000287" w:usb1="00000000" w:usb2="00000000" w:usb3="00000000" w:csb0="0000009F" w:csb1="00000000"/>
  </w:font>
  <w:font w:name="TimesL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4B7" w:rsidRDefault="000064B7" w:rsidP="004F4A00">
    <w:pPr>
      <w:pStyle w:val="Porat"/>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rPr>
      <w:t>2</w:t>
    </w:r>
    <w:r>
      <w:rPr>
        <w:rStyle w:val="Puslapionumeris"/>
      </w:rPr>
      <w:fldChar w:fldCharType="end"/>
    </w:r>
  </w:p>
  <w:p w:rsidR="000064B7" w:rsidRDefault="000064B7">
    <w:pPr>
      <w:pStyle w:val="Porat"/>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9EA" w:rsidRDefault="00AE39EA">
      <w:r>
        <w:separator/>
      </w:r>
    </w:p>
  </w:footnote>
  <w:footnote w:type="continuationSeparator" w:id="0">
    <w:p w:rsidR="00AE39EA" w:rsidRDefault="00AE39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4B7" w:rsidRDefault="000064B7" w:rsidP="00DC2069">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12</w:t>
    </w:r>
    <w:r>
      <w:rPr>
        <w:rStyle w:val="Puslapionumeris"/>
      </w:rPr>
      <w:fldChar w:fldCharType="end"/>
    </w:r>
  </w:p>
  <w:p w:rsidR="000064B7" w:rsidRDefault="000064B7">
    <w:pPr>
      <w:pStyle w:val="Antrats"/>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4B7" w:rsidRDefault="000064B7">
    <w:pPr>
      <w:pStyle w:val="Antrats"/>
      <w:jc w:val="center"/>
    </w:pPr>
    <w:r>
      <w:fldChar w:fldCharType="begin"/>
    </w:r>
    <w:r>
      <w:instrText xml:space="preserve"> PAGE   \* MERGEFORMAT </w:instrText>
    </w:r>
    <w:r>
      <w:fldChar w:fldCharType="separate"/>
    </w:r>
    <w:r w:rsidR="00890BEA">
      <w:rPr>
        <w:noProof/>
      </w:rPr>
      <w:t>1</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4B7" w:rsidRDefault="000064B7">
    <w:pPr>
      <w:pStyle w:val="Antrat1"/>
      <w:rPr>
        <w:rFonts w:ascii="Times New Roman" w:hAnsi="Times New Roman"/>
        <w:sz w:val="22"/>
      </w:rPr>
    </w:pPr>
  </w:p>
  <w:p w:rsidR="000064B7" w:rsidRDefault="000064B7">
    <w:pPr>
      <w:pStyle w:val="Antrats"/>
      <w:rPr>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00645"/>
    <w:multiLevelType w:val="hybridMultilevel"/>
    <w:tmpl w:val="E15E7F48"/>
    <w:lvl w:ilvl="0" w:tplc="37BED7A2">
      <w:start w:val="2019"/>
      <w:numFmt w:val="bullet"/>
      <w:lvlText w:val="•"/>
      <w:lvlJc w:val="left"/>
      <w:pPr>
        <w:ind w:left="1290" w:hanging="123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
    <w:nsid w:val="0778498D"/>
    <w:multiLevelType w:val="hybridMultilevel"/>
    <w:tmpl w:val="2C26F25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nsid w:val="07FA394C"/>
    <w:multiLevelType w:val="hybridMultilevel"/>
    <w:tmpl w:val="C55031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B265D35"/>
    <w:multiLevelType w:val="hybridMultilevel"/>
    <w:tmpl w:val="237A6AF8"/>
    <w:lvl w:ilvl="0" w:tplc="216E059A">
      <w:start w:val="2"/>
      <w:numFmt w:val="decimal"/>
      <w:lvlText w:val="%1"/>
      <w:lvlJc w:val="left"/>
      <w:pPr>
        <w:tabs>
          <w:tab w:val="num" w:pos="8136"/>
        </w:tabs>
        <w:ind w:left="8136" w:hanging="360"/>
      </w:pPr>
      <w:rPr>
        <w:rFonts w:hint="default"/>
      </w:rPr>
    </w:lvl>
    <w:lvl w:ilvl="1" w:tplc="04270019" w:tentative="1">
      <w:start w:val="1"/>
      <w:numFmt w:val="lowerLetter"/>
      <w:lvlText w:val="%2."/>
      <w:lvlJc w:val="left"/>
      <w:pPr>
        <w:tabs>
          <w:tab w:val="num" w:pos="8856"/>
        </w:tabs>
        <w:ind w:left="8856" w:hanging="360"/>
      </w:pPr>
    </w:lvl>
    <w:lvl w:ilvl="2" w:tplc="0427001B" w:tentative="1">
      <w:start w:val="1"/>
      <w:numFmt w:val="lowerRoman"/>
      <w:lvlText w:val="%3."/>
      <w:lvlJc w:val="right"/>
      <w:pPr>
        <w:tabs>
          <w:tab w:val="num" w:pos="9576"/>
        </w:tabs>
        <w:ind w:left="9576" w:hanging="180"/>
      </w:pPr>
    </w:lvl>
    <w:lvl w:ilvl="3" w:tplc="0427000F" w:tentative="1">
      <w:start w:val="1"/>
      <w:numFmt w:val="decimal"/>
      <w:lvlText w:val="%4."/>
      <w:lvlJc w:val="left"/>
      <w:pPr>
        <w:tabs>
          <w:tab w:val="num" w:pos="10296"/>
        </w:tabs>
        <w:ind w:left="10296" w:hanging="360"/>
      </w:pPr>
    </w:lvl>
    <w:lvl w:ilvl="4" w:tplc="04270019" w:tentative="1">
      <w:start w:val="1"/>
      <w:numFmt w:val="lowerLetter"/>
      <w:lvlText w:val="%5."/>
      <w:lvlJc w:val="left"/>
      <w:pPr>
        <w:tabs>
          <w:tab w:val="num" w:pos="11016"/>
        </w:tabs>
        <w:ind w:left="11016" w:hanging="360"/>
      </w:pPr>
    </w:lvl>
    <w:lvl w:ilvl="5" w:tplc="0427001B" w:tentative="1">
      <w:start w:val="1"/>
      <w:numFmt w:val="lowerRoman"/>
      <w:lvlText w:val="%6."/>
      <w:lvlJc w:val="right"/>
      <w:pPr>
        <w:tabs>
          <w:tab w:val="num" w:pos="11736"/>
        </w:tabs>
        <w:ind w:left="11736" w:hanging="180"/>
      </w:pPr>
    </w:lvl>
    <w:lvl w:ilvl="6" w:tplc="0427000F" w:tentative="1">
      <w:start w:val="1"/>
      <w:numFmt w:val="decimal"/>
      <w:lvlText w:val="%7."/>
      <w:lvlJc w:val="left"/>
      <w:pPr>
        <w:tabs>
          <w:tab w:val="num" w:pos="12456"/>
        </w:tabs>
        <w:ind w:left="12456" w:hanging="360"/>
      </w:pPr>
    </w:lvl>
    <w:lvl w:ilvl="7" w:tplc="04270019" w:tentative="1">
      <w:start w:val="1"/>
      <w:numFmt w:val="lowerLetter"/>
      <w:lvlText w:val="%8."/>
      <w:lvlJc w:val="left"/>
      <w:pPr>
        <w:tabs>
          <w:tab w:val="num" w:pos="13176"/>
        </w:tabs>
        <w:ind w:left="13176" w:hanging="360"/>
      </w:pPr>
    </w:lvl>
    <w:lvl w:ilvl="8" w:tplc="0427001B" w:tentative="1">
      <w:start w:val="1"/>
      <w:numFmt w:val="lowerRoman"/>
      <w:lvlText w:val="%9."/>
      <w:lvlJc w:val="right"/>
      <w:pPr>
        <w:tabs>
          <w:tab w:val="num" w:pos="13896"/>
        </w:tabs>
        <w:ind w:left="13896" w:hanging="180"/>
      </w:pPr>
    </w:lvl>
  </w:abstractNum>
  <w:abstractNum w:abstractNumId="4">
    <w:nsid w:val="0FE44FEE"/>
    <w:multiLevelType w:val="hybridMultilevel"/>
    <w:tmpl w:val="3692CE10"/>
    <w:lvl w:ilvl="0" w:tplc="0409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5">
    <w:nsid w:val="139C7A8B"/>
    <w:multiLevelType w:val="hybridMultilevel"/>
    <w:tmpl w:val="FA9258FC"/>
    <w:lvl w:ilvl="0" w:tplc="00261D9A">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9772B86"/>
    <w:multiLevelType w:val="hybridMultilevel"/>
    <w:tmpl w:val="5FAA8616"/>
    <w:lvl w:ilvl="0" w:tplc="0409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7">
    <w:nsid w:val="1B570B49"/>
    <w:multiLevelType w:val="hybridMultilevel"/>
    <w:tmpl w:val="36F0F60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8">
    <w:nsid w:val="1D207A8A"/>
    <w:multiLevelType w:val="hybridMultilevel"/>
    <w:tmpl w:val="B39027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nsid w:val="1EBE129F"/>
    <w:multiLevelType w:val="hybridMultilevel"/>
    <w:tmpl w:val="3F52AC92"/>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0">
    <w:nsid w:val="1F2D2F59"/>
    <w:multiLevelType w:val="hybridMultilevel"/>
    <w:tmpl w:val="68668EB4"/>
    <w:lvl w:ilvl="0" w:tplc="1EC48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848185F"/>
    <w:multiLevelType w:val="hybridMultilevel"/>
    <w:tmpl w:val="5CCEB8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C3A7273"/>
    <w:multiLevelType w:val="hybridMultilevel"/>
    <w:tmpl w:val="C71E7A7A"/>
    <w:lvl w:ilvl="0" w:tplc="DBDABC92">
      <w:start w:val="2018"/>
      <w:numFmt w:val="decimal"/>
      <w:lvlText w:val="%1"/>
      <w:lvlJc w:val="left"/>
      <w:pPr>
        <w:ind w:left="540" w:hanging="48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3">
    <w:nsid w:val="2D2E6A2A"/>
    <w:multiLevelType w:val="multilevel"/>
    <w:tmpl w:val="3F6449E4"/>
    <w:lvl w:ilvl="0">
      <w:start w:val="1"/>
      <w:numFmt w:val="decimal"/>
      <w:lvlText w:val="%1."/>
      <w:lvlJc w:val="left"/>
      <w:pPr>
        <w:ind w:left="420" w:hanging="420"/>
      </w:pPr>
      <w:rPr>
        <w:rFonts w:ascii="Times New Roman" w:eastAsia="Times New Roman" w:hAnsi="Times New Roman" w:cs="Times New Roman"/>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nsid w:val="341E3056"/>
    <w:multiLevelType w:val="hybridMultilevel"/>
    <w:tmpl w:val="13423C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nsid w:val="39617AD1"/>
    <w:multiLevelType w:val="hybridMultilevel"/>
    <w:tmpl w:val="D6180E88"/>
    <w:lvl w:ilvl="0" w:tplc="04270001">
      <w:start w:val="1"/>
      <w:numFmt w:val="bullet"/>
      <w:lvlText w:val=""/>
      <w:lvlJc w:val="left"/>
      <w:pPr>
        <w:tabs>
          <w:tab w:val="num" w:pos="1200"/>
        </w:tabs>
        <w:ind w:left="1200" w:hanging="360"/>
      </w:pPr>
      <w:rPr>
        <w:rFonts w:ascii="Symbol" w:hAnsi="Symbol" w:hint="default"/>
      </w:rPr>
    </w:lvl>
    <w:lvl w:ilvl="1" w:tplc="04270003" w:tentative="1">
      <w:start w:val="1"/>
      <w:numFmt w:val="bullet"/>
      <w:lvlText w:val="o"/>
      <w:lvlJc w:val="left"/>
      <w:pPr>
        <w:tabs>
          <w:tab w:val="num" w:pos="1920"/>
        </w:tabs>
        <w:ind w:left="1920" w:hanging="360"/>
      </w:pPr>
      <w:rPr>
        <w:rFonts w:ascii="Courier New" w:hAnsi="Courier New" w:cs="Courier New" w:hint="default"/>
      </w:rPr>
    </w:lvl>
    <w:lvl w:ilvl="2" w:tplc="04270005" w:tentative="1">
      <w:start w:val="1"/>
      <w:numFmt w:val="bullet"/>
      <w:lvlText w:val=""/>
      <w:lvlJc w:val="left"/>
      <w:pPr>
        <w:tabs>
          <w:tab w:val="num" w:pos="2640"/>
        </w:tabs>
        <w:ind w:left="2640" w:hanging="360"/>
      </w:pPr>
      <w:rPr>
        <w:rFonts w:ascii="Wingdings" w:hAnsi="Wingdings" w:hint="default"/>
      </w:rPr>
    </w:lvl>
    <w:lvl w:ilvl="3" w:tplc="04270001" w:tentative="1">
      <w:start w:val="1"/>
      <w:numFmt w:val="bullet"/>
      <w:lvlText w:val=""/>
      <w:lvlJc w:val="left"/>
      <w:pPr>
        <w:tabs>
          <w:tab w:val="num" w:pos="3360"/>
        </w:tabs>
        <w:ind w:left="3360" w:hanging="360"/>
      </w:pPr>
      <w:rPr>
        <w:rFonts w:ascii="Symbol" w:hAnsi="Symbol" w:hint="default"/>
      </w:rPr>
    </w:lvl>
    <w:lvl w:ilvl="4" w:tplc="04270003" w:tentative="1">
      <w:start w:val="1"/>
      <w:numFmt w:val="bullet"/>
      <w:lvlText w:val="o"/>
      <w:lvlJc w:val="left"/>
      <w:pPr>
        <w:tabs>
          <w:tab w:val="num" w:pos="4080"/>
        </w:tabs>
        <w:ind w:left="4080" w:hanging="360"/>
      </w:pPr>
      <w:rPr>
        <w:rFonts w:ascii="Courier New" w:hAnsi="Courier New" w:cs="Courier New" w:hint="default"/>
      </w:rPr>
    </w:lvl>
    <w:lvl w:ilvl="5" w:tplc="04270005" w:tentative="1">
      <w:start w:val="1"/>
      <w:numFmt w:val="bullet"/>
      <w:lvlText w:val=""/>
      <w:lvlJc w:val="left"/>
      <w:pPr>
        <w:tabs>
          <w:tab w:val="num" w:pos="4800"/>
        </w:tabs>
        <w:ind w:left="4800" w:hanging="360"/>
      </w:pPr>
      <w:rPr>
        <w:rFonts w:ascii="Wingdings" w:hAnsi="Wingdings" w:hint="default"/>
      </w:rPr>
    </w:lvl>
    <w:lvl w:ilvl="6" w:tplc="04270001" w:tentative="1">
      <w:start w:val="1"/>
      <w:numFmt w:val="bullet"/>
      <w:lvlText w:val=""/>
      <w:lvlJc w:val="left"/>
      <w:pPr>
        <w:tabs>
          <w:tab w:val="num" w:pos="5520"/>
        </w:tabs>
        <w:ind w:left="5520" w:hanging="360"/>
      </w:pPr>
      <w:rPr>
        <w:rFonts w:ascii="Symbol" w:hAnsi="Symbol" w:hint="default"/>
      </w:rPr>
    </w:lvl>
    <w:lvl w:ilvl="7" w:tplc="04270003" w:tentative="1">
      <w:start w:val="1"/>
      <w:numFmt w:val="bullet"/>
      <w:lvlText w:val="o"/>
      <w:lvlJc w:val="left"/>
      <w:pPr>
        <w:tabs>
          <w:tab w:val="num" w:pos="6240"/>
        </w:tabs>
        <w:ind w:left="6240" w:hanging="360"/>
      </w:pPr>
      <w:rPr>
        <w:rFonts w:ascii="Courier New" w:hAnsi="Courier New" w:cs="Courier New" w:hint="default"/>
      </w:rPr>
    </w:lvl>
    <w:lvl w:ilvl="8" w:tplc="04270005" w:tentative="1">
      <w:start w:val="1"/>
      <w:numFmt w:val="bullet"/>
      <w:lvlText w:val=""/>
      <w:lvlJc w:val="left"/>
      <w:pPr>
        <w:tabs>
          <w:tab w:val="num" w:pos="6960"/>
        </w:tabs>
        <w:ind w:left="6960" w:hanging="360"/>
      </w:pPr>
      <w:rPr>
        <w:rFonts w:ascii="Wingdings" w:hAnsi="Wingdings" w:hint="default"/>
      </w:rPr>
    </w:lvl>
  </w:abstractNum>
  <w:abstractNum w:abstractNumId="16">
    <w:nsid w:val="410822C2"/>
    <w:multiLevelType w:val="hybridMultilevel"/>
    <w:tmpl w:val="BC5E0EC4"/>
    <w:lvl w:ilvl="0" w:tplc="07328B4E">
      <w:start w:val="1"/>
      <w:numFmt w:val="decimal"/>
      <w:lvlText w:val="%1"/>
      <w:lvlJc w:val="left"/>
      <w:pPr>
        <w:tabs>
          <w:tab w:val="num" w:pos="8441"/>
        </w:tabs>
        <w:ind w:left="8441" w:hanging="360"/>
      </w:pPr>
      <w:rPr>
        <w:rFonts w:hint="default"/>
      </w:rPr>
    </w:lvl>
    <w:lvl w:ilvl="1" w:tplc="04270019" w:tentative="1">
      <w:start w:val="1"/>
      <w:numFmt w:val="lowerLetter"/>
      <w:lvlText w:val="%2."/>
      <w:lvlJc w:val="left"/>
      <w:pPr>
        <w:tabs>
          <w:tab w:val="num" w:pos="9161"/>
        </w:tabs>
        <w:ind w:left="9161" w:hanging="360"/>
      </w:pPr>
    </w:lvl>
    <w:lvl w:ilvl="2" w:tplc="0427001B" w:tentative="1">
      <w:start w:val="1"/>
      <w:numFmt w:val="lowerRoman"/>
      <w:lvlText w:val="%3."/>
      <w:lvlJc w:val="right"/>
      <w:pPr>
        <w:tabs>
          <w:tab w:val="num" w:pos="9881"/>
        </w:tabs>
        <w:ind w:left="9881" w:hanging="180"/>
      </w:pPr>
    </w:lvl>
    <w:lvl w:ilvl="3" w:tplc="0427000F" w:tentative="1">
      <w:start w:val="1"/>
      <w:numFmt w:val="decimal"/>
      <w:lvlText w:val="%4."/>
      <w:lvlJc w:val="left"/>
      <w:pPr>
        <w:tabs>
          <w:tab w:val="num" w:pos="10601"/>
        </w:tabs>
        <w:ind w:left="10601" w:hanging="360"/>
      </w:pPr>
    </w:lvl>
    <w:lvl w:ilvl="4" w:tplc="04270019" w:tentative="1">
      <w:start w:val="1"/>
      <w:numFmt w:val="lowerLetter"/>
      <w:lvlText w:val="%5."/>
      <w:lvlJc w:val="left"/>
      <w:pPr>
        <w:tabs>
          <w:tab w:val="num" w:pos="11321"/>
        </w:tabs>
        <w:ind w:left="11321" w:hanging="360"/>
      </w:pPr>
    </w:lvl>
    <w:lvl w:ilvl="5" w:tplc="0427001B" w:tentative="1">
      <w:start w:val="1"/>
      <w:numFmt w:val="lowerRoman"/>
      <w:lvlText w:val="%6."/>
      <w:lvlJc w:val="right"/>
      <w:pPr>
        <w:tabs>
          <w:tab w:val="num" w:pos="12041"/>
        </w:tabs>
        <w:ind w:left="12041" w:hanging="180"/>
      </w:pPr>
    </w:lvl>
    <w:lvl w:ilvl="6" w:tplc="0427000F" w:tentative="1">
      <w:start w:val="1"/>
      <w:numFmt w:val="decimal"/>
      <w:lvlText w:val="%7."/>
      <w:lvlJc w:val="left"/>
      <w:pPr>
        <w:tabs>
          <w:tab w:val="num" w:pos="12761"/>
        </w:tabs>
        <w:ind w:left="12761" w:hanging="360"/>
      </w:pPr>
    </w:lvl>
    <w:lvl w:ilvl="7" w:tplc="04270019" w:tentative="1">
      <w:start w:val="1"/>
      <w:numFmt w:val="lowerLetter"/>
      <w:lvlText w:val="%8."/>
      <w:lvlJc w:val="left"/>
      <w:pPr>
        <w:tabs>
          <w:tab w:val="num" w:pos="13481"/>
        </w:tabs>
        <w:ind w:left="13481" w:hanging="360"/>
      </w:pPr>
    </w:lvl>
    <w:lvl w:ilvl="8" w:tplc="0427001B" w:tentative="1">
      <w:start w:val="1"/>
      <w:numFmt w:val="lowerRoman"/>
      <w:lvlText w:val="%9."/>
      <w:lvlJc w:val="right"/>
      <w:pPr>
        <w:tabs>
          <w:tab w:val="num" w:pos="14201"/>
        </w:tabs>
        <w:ind w:left="14201" w:hanging="180"/>
      </w:pPr>
    </w:lvl>
  </w:abstractNum>
  <w:abstractNum w:abstractNumId="17">
    <w:nsid w:val="412E49C9"/>
    <w:multiLevelType w:val="hybridMultilevel"/>
    <w:tmpl w:val="76D8B136"/>
    <w:lvl w:ilvl="0" w:tplc="924CCFB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nsid w:val="41337692"/>
    <w:multiLevelType w:val="hybridMultilevel"/>
    <w:tmpl w:val="2580E7F6"/>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nsid w:val="43874734"/>
    <w:multiLevelType w:val="hybridMultilevel"/>
    <w:tmpl w:val="FC06F6DA"/>
    <w:lvl w:ilvl="0" w:tplc="BAF8747A">
      <w:start w:val="2016"/>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E3701B"/>
    <w:multiLevelType w:val="hybridMultilevel"/>
    <w:tmpl w:val="1F1AA10E"/>
    <w:lvl w:ilvl="0" w:tplc="FC2E1B78">
      <w:start w:val="2016"/>
      <w:numFmt w:val="decimal"/>
      <w:lvlText w:val="%1"/>
      <w:lvlJc w:val="left"/>
      <w:pPr>
        <w:ind w:left="1650" w:hanging="48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1">
    <w:nsid w:val="45D83446"/>
    <w:multiLevelType w:val="hybridMultilevel"/>
    <w:tmpl w:val="2BA819CC"/>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2">
    <w:nsid w:val="47DF6E0A"/>
    <w:multiLevelType w:val="hybridMultilevel"/>
    <w:tmpl w:val="4DCE58EC"/>
    <w:lvl w:ilvl="0" w:tplc="3708BC82">
      <w:start w:val="7"/>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abstractNum w:abstractNumId="23">
    <w:nsid w:val="535C3974"/>
    <w:multiLevelType w:val="hybridMultilevel"/>
    <w:tmpl w:val="97FAFBD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54EF2448"/>
    <w:multiLevelType w:val="hybridMultilevel"/>
    <w:tmpl w:val="FA54F756"/>
    <w:lvl w:ilvl="0" w:tplc="5D70FC56">
      <w:start w:val="2016"/>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9DC178E"/>
    <w:multiLevelType w:val="hybridMultilevel"/>
    <w:tmpl w:val="C1F450F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6">
    <w:nsid w:val="5B4D58E3"/>
    <w:multiLevelType w:val="multilevel"/>
    <w:tmpl w:val="77744200"/>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C277CE6"/>
    <w:multiLevelType w:val="hybridMultilevel"/>
    <w:tmpl w:val="C500493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8">
    <w:nsid w:val="5D2A596C"/>
    <w:multiLevelType w:val="hybridMultilevel"/>
    <w:tmpl w:val="A9CCA9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64AC7672"/>
    <w:multiLevelType w:val="hybridMultilevel"/>
    <w:tmpl w:val="91ACD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7E932B9"/>
    <w:multiLevelType w:val="hybridMultilevel"/>
    <w:tmpl w:val="2E46A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83B634F"/>
    <w:multiLevelType w:val="hybridMultilevel"/>
    <w:tmpl w:val="3DE843C4"/>
    <w:lvl w:ilvl="0" w:tplc="04270001">
      <w:start w:val="1"/>
      <w:numFmt w:val="bullet"/>
      <w:lvlText w:val=""/>
      <w:lvlJc w:val="left"/>
      <w:pPr>
        <w:tabs>
          <w:tab w:val="num" w:pos="1320"/>
        </w:tabs>
        <w:ind w:left="1320" w:hanging="360"/>
      </w:pPr>
      <w:rPr>
        <w:rFonts w:ascii="Symbol" w:hAnsi="Symbol" w:hint="default"/>
      </w:rPr>
    </w:lvl>
    <w:lvl w:ilvl="1" w:tplc="04270003" w:tentative="1">
      <w:start w:val="1"/>
      <w:numFmt w:val="bullet"/>
      <w:lvlText w:val="o"/>
      <w:lvlJc w:val="left"/>
      <w:pPr>
        <w:tabs>
          <w:tab w:val="num" w:pos="2040"/>
        </w:tabs>
        <w:ind w:left="2040" w:hanging="360"/>
      </w:pPr>
      <w:rPr>
        <w:rFonts w:ascii="Courier New" w:hAnsi="Courier New" w:cs="Courier New" w:hint="default"/>
      </w:rPr>
    </w:lvl>
    <w:lvl w:ilvl="2" w:tplc="04270005" w:tentative="1">
      <w:start w:val="1"/>
      <w:numFmt w:val="bullet"/>
      <w:lvlText w:val=""/>
      <w:lvlJc w:val="left"/>
      <w:pPr>
        <w:tabs>
          <w:tab w:val="num" w:pos="2760"/>
        </w:tabs>
        <w:ind w:left="2760" w:hanging="360"/>
      </w:pPr>
      <w:rPr>
        <w:rFonts w:ascii="Wingdings" w:hAnsi="Wingdings" w:hint="default"/>
      </w:rPr>
    </w:lvl>
    <w:lvl w:ilvl="3" w:tplc="04270001" w:tentative="1">
      <w:start w:val="1"/>
      <w:numFmt w:val="bullet"/>
      <w:lvlText w:val=""/>
      <w:lvlJc w:val="left"/>
      <w:pPr>
        <w:tabs>
          <w:tab w:val="num" w:pos="3480"/>
        </w:tabs>
        <w:ind w:left="3480" w:hanging="360"/>
      </w:pPr>
      <w:rPr>
        <w:rFonts w:ascii="Symbol" w:hAnsi="Symbol" w:hint="default"/>
      </w:rPr>
    </w:lvl>
    <w:lvl w:ilvl="4" w:tplc="04270003" w:tentative="1">
      <w:start w:val="1"/>
      <w:numFmt w:val="bullet"/>
      <w:lvlText w:val="o"/>
      <w:lvlJc w:val="left"/>
      <w:pPr>
        <w:tabs>
          <w:tab w:val="num" w:pos="4200"/>
        </w:tabs>
        <w:ind w:left="4200" w:hanging="360"/>
      </w:pPr>
      <w:rPr>
        <w:rFonts w:ascii="Courier New" w:hAnsi="Courier New" w:cs="Courier New" w:hint="default"/>
      </w:rPr>
    </w:lvl>
    <w:lvl w:ilvl="5" w:tplc="04270005" w:tentative="1">
      <w:start w:val="1"/>
      <w:numFmt w:val="bullet"/>
      <w:lvlText w:val=""/>
      <w:lvlJc w:val="left"/>
      <w:pPr>
        <w:tabs>
          <w:tab w:val="num" w:pos="4920"/>
        </w:tabs>
        <w:ind w:left="4920" w:hanging="360"/>
      </w:pPr>
      <w:rPr>
        <w:rFonts w:ascii="Wingdings" w:hAnsi="Wingdings" w:hint="default"/>
      </w:rPr>
    </w:lvl>
    <w:lvl w:ilvl="6" w:tplc="04270001" w:tentative="1">
      <w:start w:val="1"/>
      <w:numFmt w:val="bullet"/>
      <w:lvlText w:val=""/>
      <w:lvlJc w:val="left"/>
      <w:pPr>
        <w:tabs>
          <w:tab w:val="num" w:pos="5640"/>
        </w:tabs>
        <w:ind w:left="5640" w:hanging="360"/>
      </w:pPr>
      <w:rPr>
        <w:rFonts w:ascii="Symbol" w:hAnsi="Symbol" w:hint="default"/>
      </w:rPr>
    </w:lvl>
    <w:lvl w:ilvl="7" w:tplc="04270003" w:tentative="1">
      <w:start w:val="1"/>
      <w:numFmt w:val="bullet"/>
      <w:lvlText w:val="o"/>
      <w:lvlJc w:val="left"/>
      <w:pPr>
        <w:tabs>
          <w:tab w:val="num" w:pos="6360"/>
        </w:tabs>
        <w:ind w:left="6360" w:hanging="360"/>
      </w:pPr>
      <w:rPr>
        <w:rFonts w:ascii="Courier New" w:hAnsi="Courier New" w:cs="Courier New" w:hint="default"/>
      </w:rPr>
    </w:lvl>
    <w:lvl w:ilvl="8" w:tplc="04270005" w:tentative="1">
      <w:start w:val="1"/>
      <w:numFmt w:val="bullet"/>
      <w:lvlText w:val=""/>
      <w:lvlJc w:val="left"/>
      <w:pPr>
        <w:tabs>
          <w:tab w:val="num" w:pos="7080"/>
        </w:tabs>
        <w:ind w:left="7080" w:hanging="360"/>
      </w:pPr>
      <w:rPr>
        <w:rFonts w:ascii="Wingdings" w:hAnsi="Wingdings" w:hint="default"/>
      </w:rPr>
    </w:lvl>
  </w:abstractNum>
  <w:abstractNum w:abstractNumId="32">
    <w:nsid w:val="6D28705E"/>
    <w:multiLevelType w:val="multilevel"/>
    <w:tmpl w:val="AFCCC37E"/>
    <w:lvl w:ilvl="0">
      <w:start w:val="1"/>
      <w:numFmt w:val="decimal"/>
      <w:lvlText w:val="%1."/>
      <w:lvlJc w:val="left"/>
      <w:pPr>
        <w:ind w:left="1440" w:hanging="360"/>
      </w:pPr>
      <w:rPr>
        <w:rFonts w:hint="default"/>
      </w:rPr>
    </w:lvl>
    <w:lvl w:ilvl="1">
      <w:start w:val="1"/>
      <w:numFmt w:val="decimal"/>
      <w:isLgl/>
      <w:lvlText w:val="%1.%2."/>
      <w:lvlJc w:val="left"/>
      <w:pPr>
        <w:ind w:left="1500" w:hanging="360"/>
      </w:pPr>
      <w:rPr>
        <w:rFonts w:hint="default"/>
      </w:rPr>
    </w:lvl>
    <w:lvl w:ilvl="2">
      <w:start w:val="1"/>
      <w:numFmt w:val="decimal"/>
      <w:isLgl/>
      <w:lvlText w:val="%1.%2.%3."/>
      <w:lvlJc w:val="left"/>
      <w:pPr>
        <w:ind w:left="192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940" w:hanging="1440"/>
      </w:pPr>
      <w:rPr>
        <w:rFonts w:hint="default"/>
      </w:rPr>
    </w:lvl>
    <w:lvl w:ilvl="8">
      <w:start w:val="1"/>
      <w:numFmt w:val="decimal"/>
      <w:isLgl/>
      <w:lvlText w:val="%1.%2.%3.%4.%5.%6.%7.%8.%9."/>
      <w:lvlJc w:val="left"/>
      <w:pPr>
        <w:ind w:left="3360" w:hanging="1800"/>
      </w:pPr>
      <w:rPr>
        <w:rFonts w:hint="default"/>
      </w:rPr>
    </w:lvl>
  </w:abstractNum>
  <w:abstractNum w:abstractNumId="33">
    <w:nsid w:val="770302E4"/>
    <w:multiLevelType w:val="hybridMultilevel"/>
    <w:tmpl w:val="DE40C7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nsid w:val="7A694E31"/>
    <w:multiLevelType w:val="hybridMultilevel"/>
    <w:tmpl w:val="919E04CA"/>
    <w:lvl w:ilvl="0" w:tplc="04090001">
      <w:start w:val="1"/>
      <w:numFmt w:val="bullet"/>
      <w:lvlText w:val=""/>
      <w:lvlJc w:val="left"/>
      <w:pPr>
        <w:ind w:left="720" w:hanging="360"/>
      </w:pPr>
      <w:rPr>
        <w:rFonts w:ascii="Symbol" w:hAnsi="Symbol" w:hint="default"/>
      </w:rPr>
    </w:lvl>
    <w:lvl w:ilvl="1" w:tplc="279044E4">
      <w:start w:val="1"/>
      <w:numFmt w:val="bullet"/>
      <w:lvlText w:val="o"/>
      <w:lvlJc w:val="left"/>
      <w:pPr>
        <w:ind w:left="1440" w:hanging="360"/>
      </w:pPr>
      <w:rPr>
        <w:rFonts w:ascii="Courier New" w:hAnsi="Courier New" w:cs="Courier New" w:hint="default"/>
        <w:b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B98475E"/>
    <w:multiLevelType w:val="hybridMultilevel"/>
    <w:tmpl w:val="2BB89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5"/>
  </w:num>
  <w:num w:numId="4">
    <w:abstractNumId w:val="31"/>
  </w:num>
  <w:num w:numId="5">
    <w:abstractNumId w:val="16"/>
  </w:num>
  <w:num w:numId="6">
    <w:abstractNumId w:val="26"/>
  </w:num>
  <w:num w:numId="7">
    <w:abstractNumId w:val="3"/>
  </w:num>
  <w:num w:numId="8">
    <w:abstractNumId w:val="9"/>
  </w:num>
  <w:num w:numId="9">
    <w:abstractNumId w:val="27"/>
  </w:num>
  <w:num w:numId="10">
    <w:abstractNumId w:val="14"/>
  </w:num>
  <w:num w:numId="11">
    <w:abstractNumId w:val="33"/>
  </w:num>
  <w:num w:numId="12">
    <w:abstractNumId w:val="1"/>
  </w:num>
  <w:num w:numId="13">
    <w:abstractNumId w:val="22"/>
  </w:num>
  <w:num w:numId="14">
    <w:abstractNumId w:val="18"/>
  </w:num>
  <w:num w:numId="15">
    <w:abstractNumId w:val="7"/>
  </w:num>
  <w:num w:numId="16">
    <w:abstractNumId w:val="1"/>
  </w:num>
  <w:num w:numId="17">
    <w:abstractNumId w:val="13"/>
  </w:num>
  <w:num w:numId="18">
    <w:abstractNumId w:val="17"/>
  </w:num>
  <w:num w:numId="19">
    <w:abstractNumId w:val="32"/>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5"/>
  </w:num>
  <w:num w:numId="23">
    <w:abstractNumId w:val="21"/>
  </w:num>
  <w:num w:numId="24">
    <w:abstractNumId w:val="28"/>
  </w:num>
  <w:num w:numId="25">
    <w:abstractNumId w:val="35"/>
  </w:num>
  <w:num w:numId="26">
    <w:abstractNumId w:val="0"/>
  </w:num>
  <w:num w:numId="27">
    <w:abstractNumId w:val="12"/>
  </w:num>
  <w:num w:numId="28">
    <w:abstractNumId w:val="30"/>
  </w:num>
  <w:num w:numId="29">
    <w:abstractNumId w:val="2"/>
  </w:num>
  <w:num w:numId="30">
    <w:abstractNumId w:val="23"/>
  </w:num>
  <w:num w:numId="31">
    <w:abstractNumId w:val="29"/>
  </w:num>
  <w:num w:numId="32">
    <w:abstractNumId w:val="19"/>
  </w:num>
  <w:num w:numId="33">
    <w:abstractNumId w:val="11"/>
  </w:num>
  <w:num w:numId="34">
    <w:abstractNumId w:val="20"/>
  </w:num>
  <w:num w:numId="35">
    <w:abstractNumId w:val="24"/>
  </w:num>
  <w:num w:numId="36">
    <w:abstractNumId w:val="34"/>
  </w:num>
  <w:num w:numId="37">
    <w:abstractNumId w:val="10"/>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hdrShapeDefaults>
    <o:shapedefaults v:ext="edit" spidmax="2049" fillcolor="white">
      <v:fill color="white"/>
      <v:stroke weight="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A65"/>
    <w:rsid w:val="000000DB"/>
    <w:rsid w:val="00000E18"/>
    <w:rsid w:val="000015CC"/>
    <w:rsid w:val="0000179A"/>
    <w:rsid w:val="00002BB0"/>
    <w:rsid w:val="0000320E"/>
    <w:rsid w:val="000037EF"/>
    <w:rsid w:val="0000414A"/>
    <w:rsid w:val="00004AAB"/>
    <w:rsid w:val="00004D1F"/>
    <w:rsid w:val="0000541C"/>
    <w:rsid w:val="000064B7"/>
    <w:rsid w:val="000117A7"/>
    <w:rsid w:val="000136C3"/>
    <w:rsid w:val="00014248"/>
    <w:rsid w:val="00014730"/>
    <w:rsid w:val="00014CA2"/>
    <w:rsid w:val="00015ACB"/>
    <w:rsid w:val="00015AF4"/>
    <w:rsid w:val="0001658B"/>
    <w:rsid w:val="000205EA"/>
    <w:rsid w:val="00020D1E"/>
    <w:rsid w:val="00022B6C"/>
    <w:rsid w:val="0002388B"/>
    <w:rsid w:val="000250B3"/>
    <w:rsid w:val="00025EF9"/>
    <w:rsid w:val="00026688"/>
    <w:rsid w:val="000278BA"/>
    <w:rsid w:val="00030E6C"/>
    <w:rsid w:val="000326FC"/>
    <w:rsid w:val="00032960"/>
    <w:rsid w:val="00033B7B"/>
    <w:rsid w:val="0003459B"/>
    <w:rsid w:val="000369E4"/>
    <w:rsid w:val="00036B0A"/>
    <w:rsid w:val="0004001C"/>
    <w:rsid w:val="000436D2"/>
    <w:rsid w:val="00043C5E"/>
    <w:rsid w:val="00046147"/>
    <w:rsid w:val="00046C0C"/>
    <w:rsid w:val="00046D33"/>
    <w:rsid w:val="00050970"/>
    <w:rsid w:val="00052B18"/>
    <w:rsid w:val="000531C3"/>
    <w:rsid w:val="000550F1"/>
    <w:rsid w:val="00057D97"/>
    <w:rsid w:val="00060E30"/>
    <w:rsid w:val="00061B6B"/>
    <w:rsid w:val="00063534"/>
    <w:rsid w:val="00064605"/>
    <w:rsid w:val="0006562D"/>
    <w:rsid w:val="00070CE4"/>
    <w:rsid w:val="00071CE1"/>
    <w:rsid w:val="00072633"/>
    <w:rsid w:val="00073EA3"/>
    <w:rsid w:val="00081699"/>
    <w:rsid w:val="00082DB7"/>
    <w:rsid w:val="0008386E"/>
    <w:rsid w:val="00083CFB"/>
    <w:rsid w:val="0008691B"/>
    <w:rsid w:val="00086AAC"/>
    <w:rsid w:val="00086DBB"/>
    <w:rsid w:val="000876D9"/>
    <w:rsid w:val="00087D81"/>
    <w:rsid w:val="000904D7"/>
    <w:rsid w:val="000910B3"/>
    <w:rsid w:val="0009160C"/>
    <w:rsid w:val="00091F24"/>
    <w:rsid w:val="0009562A"/>
    <w:rsid w:val="0009708F"/>
    <w:rsid w:val="00097891"/>
    <w:rsid w:val="00097EA4"/>
    <w:rsid w:val="000A12EB"/>
    <w:rsid w:val="000A52C8"/>
    <w:rsid w:val="000A672C"/>
    <w:rsid w:val="000B0E66"/>
    <w:rsid w:val="000B2652"/>
    <w:rsid w:val="000B3E17"/>
    <w:rsid w:val="000B7004"/>
    <w:rsid w:val="000B7B50"/>
    <w:rsid w:val="000C22F4"/>
    <w:rsid w:val="000C2466"/>
    <w:rsid w:val="000C435F"/>
    <w:rsid w:val="000C46FA"/>
    <w:rsid w:val="000C4E97"/>
    <w:rsid w:val="000C4F7E"/>
    <w:rsid w:val="000D4180"/>
    <w:rsid w:val="000D67B4"/>
    <w:rsid w:val="000E0E30"/>
    <w:rsid w:val="000E1FC5"/>
    <w:rsid w:val="000E3AAC"/>
    <w:rsid w:val="000E5462"/>
    <w:rsid w:val="000E6CDD"/>
    <w:rsid w:val="000E7D89"/>
    <w:rsid w:val="000F0703"/>
    <w:rsid w:val="000F0CEA"/>
    <w:rsid w:val="000F3740"/>
    <w:rsid w:val="000F44D8"/>
    <w:rsid w:val="000F450A"/>
    <w:rsid w:val="000F5271"/>
    <w:rsid w:val="000F52C2"/>
    <w:rsid w:val="000F65CA"/>
    <w:rsid w:val="000F7E95"/>
    <w:rsid w:val="001001C8"/>
    <w:rsid w:val="00102F71"/>
    <w:rsid w:val="00105756"/>
    <w:rsid w:val="001066DC"/>
    <w:rsid w:val="001072A2"/>
    <w:rsid w:val="00111229"/>
    <w:rsid w:val="00113945"/>
    <w:rsid w:val="00114CFC"/>
    <w:rsid w:val="0012215C"/>
    <w:rsid w:val="0012491D"/>
    <w:rsid w:val="00124B01"/>
    <w:rsid w:val="0012602E"/>
    <w:rsid w:val="00127CFB"/>
    <w:rsid w:val="00130FAA"/>
    <w:rsid w:val="001325B5"/>
    <w:rsid w:val="00133E6B"/>
    <w:rsid w:val="0013598F"/>
    <w:rsid w:val="00137C7E"/>
    <w:rsid w:val="001413DA"/>
    <w:rsid w:val="0014548F"/>
    <w:rsid w:val="001476D2"/>
    <w:rsid w:val="00150BC1"/>
    <w:rsid w:val="00150CC3"/>
    <w:rsid w:val="00151A9D"/>
    <w:rsid w:val="00155098"/>
    <w:rsid w:val="0015559E"/>
    <w:rsid w:val="00157A53"/>
    <w:rsid w:val="00157E3A"/>
    <w:rsid w:val="0016394A"/>
    <w:rsid w:val="001641AE"/>
    <w:rsid w:val="00164FEA"/>
    <w:rsid w:val="00165FC8"/>
    <w:rsid w:val="0016618E"/>
    <w:rsid w:val="00166476"/>
    <w:rsid w:val="0016712E"/>
    <w:rsid w:val="00171A48"/>
    <w:rsid w:val="001735EA"/>
    <w:rsid w:val="00174A65"/>
    <w:rsid w:val="00174B71"/>
    <w:rsid w:val="001761E6"/>
    <w:rsid w:val="00176817"/>
    <w:rsid w:val="00177B87"/>
    <w:rsid w:val="00180ED5"/>
    <w:rsid w:val="001811F8"/>
    <w:rsid w:val="00181448"/>
    <w:rsid w:val="0018288C"/>
    <w:rsid w:val="00182E61"/>
    <w:rsid w:val="0018433E"/>
    <w:rsid w:val="0018443C"/>
    <w:rsid w:val="00185D19"/>
    <w:rsid w:val="001862D7"/>
    <w:rsid w:val="00187EBF"/>
    <w:rsid w:val="00190267"/>
    <w:rsid w:val="0019055A"/>
    <w:rsid w:val="0019137D"/>
    <w:rsid w:val="00191A44"/>
    <w:rsid w:val="0019437F"/>
    <w:rsid w:val="0019484A"/>
    <w:rsid w:val="00195DA6"/>
    <w:rsid w:val="001967DC"/>
    <w:rsid w:val="00196CD4"/>
    <w:rsid w:val="00197598"/>
    <w:rsid w:val="001A0294"/>
    <w:rsid w:val="001A0AC5"/>
    <w:rsid w:val="001A3A54"/>
    <w:rsid w:val="001A4704"/>
    <w:rsid w:val="001A4852"/>
    <w:rsid w:val="001A5892"/>
    <w:rsid w:val="001A7E0D"/>
    <w:rsid w:val="001B1081"/>
    <w:rsid w:val="001B3E7F"/>
    <w:rsid w:val="001B3F58"/>
    <w:rsid w:val="001B4B5F"/>
    <w:rsid w:val="001B5C24"/>
    <w:rsid w:val="001C080D"/>
    <w:rsid w:val="001C0A02"/>
    <w:rsid w:val="001C0BA3"/>
    <w:rsid w:val="001C2489"/>
    <w:rsid w:val="001C399E"/>
    <w:rsid w:val="001C7E09"/>
    <w:rsid w:val="001D2452"/>
    <w:rsid w:val="001D2F28"/>
    <w:rsid w:val="001D3363"/>
    <w:rsid w:val="001D49A9"/>
    <w:rsid w:val="001D5537"/>
    <w:rsid w:val="001D5A36"/>
    <w:rsid w:val="001D6B32"/>
    <w:rsid w:val="001E18EC"/>
    <w:rsid w:val="001E1AE7"/>
    <w:rsid w:val="001E2064"/>
    <w:rsid w:val="001E2C89"/>
    <w:rsid w:val="001E5F52"/>
    <w:rsid w:val="001E6013"/>
    <w:rsid w:val="001E6DB5"/>
    <w:rsid w:val="001E7335"/>
    <w:rsid w:val="001F0C24"/>
    <w:rsid w:val="001F0E04"/>
    <w:rsid w:val="001F0F12"/>
    <w:rsid w:val="001F1D7F"/>
    <w:rsid w:val="001F348A"/>
    <w:rsid w:val="001F4FFE"/>
    <w:rsid w:val="001F56E6"/>
    <w:rsid w:val="001F5BA6"/>
    <w:rsid w:val="001F6602"/>
    <w:rsid w:val="001F7B87"/>
    <w:rsid w:val="002025D1"/>
    <w:rsid w:val="00202D82"/>
    <w:rsid w:val="002034E6"/>
    <w:rsid w:val="0020449A"/>
    <w:rsid w:val="002051D6"/>
    <w:rsid w:val="00205BF1"/>
    <w:rsid w:val="002066F6"/>
    <w:rsid w:val="002079DD"/>
    <w:rsid w:val="00207CF3"/>
    <w:rsid w:val="00212CD1"/>
    <w:rsid w:val="00215BD2"/>
    <w:rsid w:val="00217879"/>
    <w:rsid w:val="002241DC"/>
    <w:rsid w:val="00224355"/>
    <w:rsid w:val="00225E92"/>
    <w:rsid w:val="00226D3A"/>
    <w:rsid w:val="0023043A"/>
    <w:rsid w:val="002307DB"/>
    <w:rsid w:val="00230829"/>
    <w:rsid w:val="002317F7"/>
    <w:rsid w:val="002346D5"/>
    <w:rsid w:val="0023520C"/>
    <w:rsid w:val="00235BCD"/>
    <w:rsid w:val="00240D17"/>
    <w:rsid w:val="00242069"/>
    <w:rsid w:val="00242A10"/>
    <w:rsid w:val="0024696C"/>
    <w:rsid w:val="002504DD"/>
    <w:rsid w:val="00251046"/>
    <w:rsid w:val="0025136C"/>
    <w:rsid w:val="00253800"/>
    <w:rsid w:val="00255B5D"/>
    <w:rsid w:val="00255D16"/>
    <w:rsid w:val="002601B0"/>
    <w:rsid w:val="00261EAB"/>
    <w:rsid w:val="0026650C"/>
    <w:rsid w:val="00267DF3"/>
    <w:rsid w:val="002700B6"/>
    <w:rsid w:val="00271602"/>
    <w:rsid w:val="00272201"/>
    <w:rsid w:val="00272609"/>
    <w:rsid w:val="00274272"/>
    <w:rsid w:val="00275FB5"/>
    <w:rsid w:val="0028005E"/>
    <w:rsid w:val="002839B6"/>
    <w:rsid w:val="00283A60"/>
    <w:rsid w:val="00283AF5"/>
    <w:rsid w:val="00283FE1"/>
    <w:rsid w:val="00284828"/>
    <w:rsid w:val="00284DAD"/>
    <w:rsid w:val="00285231"/>
    <w:rsid w:val="0028665F"/>
    <w:rsid w:val="00287E96"/>
    <w:rsid w:val="00290CE9"/>
    <w:rsid w:val="00293C67"/>
    <w:rsid w:val="00293FB6"/>
    <w:rsid w:val="002948C2"/>
    <w:rsid w:val="00295D5F"/>
    <w:rsid w:val="00295FE2"/>
    <w:rsid w:val="002A1186"/>
    <w:rsid w:val="002A1BA9"/>
    <w:rsid w:val="002A30B1"/>
    <w:rsid w:val="002B0EBC"/>
    <w:rsid w:val="002B21F1"/>
    <w:rsid w:val="002B445E"/>
    <w:rsid w:val="002B5AA6"/>
    <w:rsid w:val="002B5BEA"/>
    <w:rsid w:val="002B70AD"/>
    <w:rsid w:val="002C04D7"/>
    <w:rsid w:val="002C0C6F"/>
    <w:rsid w:val="002C0D14"/>
    <w:rsid w:val="002C12CD"/>
    <w:rsid w:val="002C26B8"/>
    <w:rsid w:val="002C342A"/>
    <w:rsid w:val="002C403C"/>
    <w:rsid w:val="002C4183"/>
    <w:rsid w:val="002C5F61"/>
    <w:rsid w:val="002C7740"/>
    <w:rsid w:val="002D0D07"/>
    <w:rsid w:val="002D19C6"/>
    <w:rsid w:val="002D1E2C"/>
    <w:rsid w:val="002D24D4"/>
    <w:rsid w:val="002D3524"/>
    <w:rsid w:val="002D40E9"/>
    <w:rsid w:val="002D4186"/>
    <w:rsid w:val="002D44CC"/>
    <w:rsid w:val="002D6C97"/>
    <w:rsid w:val="002D6CA3"/>
    <w:rsid w:val="002E14B5"/>
    <w:rsid w:val="002E17CE"/>
    <w:rsid w:val="002E25F1"/>
    <w:rsid w:val="002E62E6"/>
    <w:rsid w:val="002E785E"/>
    <w:rsid w:val="002E7A1F"/>
    <w:rsid w:val="002F0332"/>
    <w:rsid w:val="002F0548"/>
    <w:rsid w:val="002F36D1"/>
    <w:rsid w:val="002F3B71"/>
    <w:rsid w:val="002F5158"/>
    <w:rsid w:val="002F7193"/>
    <w:rsid w:val="00304CB3"/>
    <w:rsid w:val="00305FDA"/>
    <w:rsid w:val="00307087"/>
    <w:rsid w:val="00307625"/>
    <w:rsid w:val="00307EC9"/>
    <w:rsid w:val="0031286F"/>
    <w:rsid w:val="00312938"/>
    <w:rsid w:val="00312F9A"/>
    <w:rsid w:val="00313340"/>
    <w:rsid w:val="00314037"/>
    <w:rsid w:val="0031434D"/>
    <w:rsid w:val="00314B50"/>
    <w:rsid w:val="00314D51"/>
    <w:rsid w:val="00321CB2"/>
    <w:rsid w:val="00322582"/>
    <w:rsid w:val="003225BA"/>
    <w:rsid w:val="003229C0"/>
    <w:rsid w:val="00323527"/>
    <w:rsid w:val="00323629"/>
    <w:rsid w:val="0032432D"/>
    <w:rsid w:val="00324E43"/>
    <w:rsid w:val="003278F2"/>
    <w:rsid w:val="00331F9F"/>
    <w:rsid w:val="00332228"/>
    <w:rsid w:val="00334839"/>
    <w:rsid w:val="00335558"/>
    <w:rsid w:val="003355FC"/>
    <w:rsid w:val="00337551"/>
    <w:rsid w:val="00337C5E"/>
    <w:rsid w:val="00337D6C"/>
    <w:rsid w:val="00340BD7"/>
    <w:rsid w:val="00341CBE"/>
    <w:rsid w:val="003425D7"/>
    <w:rsid w:val="00343009"/>
    <w:rsid w:val="003435BD"/>
    <w:rsid w:val="00343961"/>
    <w:rsid w:val="00345E57"/>
    <w:rsid w:val="003530F7"/>
    <w:rsid w:val="00355AE3"/>
    <w:rsid w:val="00355E06"/>
    <w:rsid w:val="00356465"/>
    <w:rsid w:val="003602A8"/>
    <w:rsid w:val="003621AF"/>
    <w:rsid w:val="003625BC"/>
    <w:rsid w:val="00362692"/>
    <w:rsid w:val="00362E31"/>
    <w:rsid w:val="00363357"/>
    <w:rsid w:val="00366AFF"/>
    <w:rsid w:val="00366D3E"/>
    <w:rsid w:val="003678FF"/>
    <w:rsid w:val="00370422"/>
    <w:rsid w:val="00375611"/>
    <w:rsid w:val="0038068B"/>
    <w:rsid w:val="00381745"/>
    <w:rsid w:val="00383E91"/>
    <w:rsid w:val="003852E1"/>
    <w:rsid w:val="0038755D"/>
    <w:rsid w:val="00390304"/>
    <w:rsid w:val="00392056"/>
    <w:rsid w:val="003923BF"/>
    <w:rsid w:val="00392B40"/>
    <w:rsid w:val="00392F68"/>
    <w:rsid w:val="003935B4"/>
    <w:rsid w:val="00393FAD"/>
    <w:rsid w:val="003941A2"/>
    <w:rsid w:val="00395EDE"/>
    <w:rsid w:val="00396B48"/>
    <w:rsid w:val="00397BBF"/>
    <w:rsid w:val="003A01C9"/>
    <w:rsid w:val="003A0F95"/>
    <w:rsid w:val="003A3BC5"/>
    <w:rsid w:val="003A3F19"/>
    <w:rsid w:val="003A44B7"/>
    <w:rsid w:val="003A46AC"/>
    <w:rsid w:val="003A4843"/>
    <w:rsid w:val="003A7F16"/>
    <w:rsid w:val="003B0E7A"/>
    <w:rsid w:val="003B109B"/>
    <w:rsid w:val="003B2701"/>
    <w:rsid w:val="003B3A1A"/>
    <w:rsid w:val="003B4374"/>
    <w:rsid w:val="003B448A"/>
    <w:rsid w:val="003B4D6B"/>
    <w:rsid w:val="003B4D83"/>
    <w:rsid w:val="003B6133"/>
    <w:rsid w:val="003B61CB"/>
    <w:rsid w:val="003C1117"/>
    <w:rsid w:val="003C1510"/>
    <w:rsid w:val="003C1633"/>
    <w:rsid w:val="003C1796"/>
    <w:rsid w:val="003C376A"/>
    <w:rsid w:val="003C546E"/>
    <w:rsid w:val="003C7C5B"/>
    <w:rsid w:val="003D157A"/>
    <w:rsid w:val="003D1FB6"/>
    <w:rsid w:val="003D2808"/>
    <w:rsid w:val="003D2C73"/>
    <w:rsid w:val="003D3804"/>
    <w:rsid w:val="003D3896"/>
    <w:rsid w:val="003D63C7"/>
    <w:rsid w:val="003E1CF8"/>
    <w:rsid w:val="003E1DC9"/>
    <w:rsid w:val="003E5CB5"/>
    <w:rsid w:val="003F1108"/>
    <w:rsid w:val="003F1595"/>
    <w:rsid w:val="003F2A6E"/>
    <w:rsid w:val="003F53D5"/>
    <w:rsid w:val="003F7844"/>
    <w:rsid w:val="0040123F"/>
    <w:rsid w:val="0040129E"/>
    <w:rsid w:val="00402CB6"/>
    <w:rsid w:val="00406638"/>
    <w:rsid w:val="004070F0"/>
    <w:rsid w:val="00407697"/>
    <w:rsid w:val="00411775"/>
    <w:rsid w:val="004145C3"/>
    <w:rsid w:val="00414A1A"/>
    <w:rsid w:val="0042239E"/>
    <w:rsid w:val="00423B74"/>
    <w:rsid w:val="00424A6A"/>
    <w:rsid w:val="004267D8"/>
    <w:rsid w:val="00426843"/>
    <w:rsid w:val="00427295"/>
    <w:rsid w:val="00430298"/>
    <w:rsid w:val="00431296"/>
    <w:rsid w:val="00431D29"/>
    <w:rsid w:val="004345C5"/>
    <w:rsid w:val="004346F7"/>
    <w:rsid w:val="00434F1F"/>
    <w:rsid w:val="00434FA7"/>
    <w:rsid w:val="00435CA9"/>
    <w:rsid w:val="004364D6"/>
    <w:rsid w:val="00436F0E"/>
    <w:rsid w:val="0044182F"/>
    <w:rsid w:val="00443147"/>
    <w:rsid w:val="004440BB"/>
    <w:rsid w:val="004441E7"/>
    <w:rsid w:val="00444670"/>
    <w:rsid w:val="0044613A"/>
    <w:rsid w:val="0045047F"/>
    <w:rsid w:val="004505AF"/>
    <w:rsid w:val="00452881"/>
    <w:rsid w:val="00454A62"/>
    <w:rsid w:val="00454D46"/>
    <w:rsid w:val="00457701"/>
    <w:rsid w:val="00460762"/>
    <w:rsid w:val="004609C0"/>
    <w:rsid w:val="00462408"/>
    <w:rsid w:val="0046247A"/>
    <w:rsid w:val="00462A46"/>
    <w:rsid w:val="00464030"/>
    <w:rsid w:val="004666E1"/>
    <w:rsid w:val="004669FA"/>
    <w:rsid w:val="00471606"/>
    <w:rsid w:val="0047173A"/>
    <w:rsid w:val="0047321A"/>
    <w:rsid w:val="00473D2E"/>
    <w:rsid w:val="00474636"/>
    <w:rsid w:val="004748F2"/>
    <w:rsid w:val="00474CAD"/>
    <w:rsid w:val="0048128B"/>
    <w:rsid w:val="004816CE"/>
    <w:rsid w:val="00486143"/>
    <w:rsid w:val="004874A1"/>
    <w:rsid w:val="00487797"/>
    <w:rsid w:val="00487D47"/>
    <w:rsid w:val="00490A89"/>
    <w:rsid w:val="00491A16"/>
    <w:rsid w:val="00491D28"/>
    <w:rsid w:val="00491E3C"/>
    <w:rsid w:val="00493409"/>
    <w:rsid w:val="00494F60"/>
    <w:rsid w:val="00494F82"/>
    <w:rsid w:val="004A03F2"/>
    <w:rsid w:val="004A1297"/>
    <w:rsid w:val="004A20EB"/>
    <w:rsid w:val="004A22BE"/>
    <w:rsid w:val="004A45BF"/>
    <w:rsid w:val="004A5BBD"/>
    <w:rsid w:val="004A6F10"/>
    <w:rsid w:val="004B0463"/>
    <w:rsid w:val="004B07BD"/>
    <w:rsid w:val="004B30BF"/>
    <w:rsid w:val="004B4053"/>
    <w:rsid w:val="004B5F28"/>
    <w:rsid w:val="004B751D"/>
    <w:rsid w:val="004B79D5"/>
    <w:rsid w:val="004C0428"/>
    <w:rsid w:val="004C089B"/>
    <w:rsid w:val="004C14A1"/>
    <w:rsid w:val="004C19EC"/>
    <w:rsid w:val="004C28E7"/>
    <w:rsid w:val="004C2F97"/>
    <w:rsid w:val="004C43B3"/>
    <w:rsid w:val="004C4FB1"/>
    <w:rsid w:val="004C50E3"/>
    <w:rsid w:val="004C5A62"/>
    <w:rsid w:val="004C5EDE"/>
    <w:rsid w:val="004C7101"/>
    <w:rsid w:val="004C77FE"/>
    <w:rsid w:val="004D13ED"/>
    <w:rsid w:val="004D3AF6"/>
    <w:rsid w:val="004D46AF"/>
    <w:rsid w:val="004D5516"/>
    <w:rsid w:val="004D5568"/>
    <w:rsid w:val="004D64BD"/>
    <w:rsid w:val="004D7147"/>
    <w:rsid w:val="004D7B5E"/>
    <w:rsid w:val="004E0CA2"/>
    <w:rsid w:val="004E1730"/>
    <w:rsid w:val="004E4821"/>
    <w:rsid w:val="004E5350"/>
    <w:rsid w:val="004E5973"/>
    <w:rsid w:val="004E5D1A"/>
    <w:rsid w:val="004E5E06"/>
    <w:rsid w:val="004E73E8"/>
    <w:rsid w:val="004F14AF"/>
    <w:rsid w:val="004F16E2"/>
    <w:rsid w:val="004F2C7C"/>
    <w:rsid w:val="004F3F2F"/>
    <w:rsid w:val="004F4A00"/>
    <w:rsid w:val="004F5742"/>
    <w:rsid w:val="004F63C4"/>
    <w:rsid w:val="004F75EB"/>
    <w:rsid w:val="0050303C"/>
    <w:rsid w:val="0050783D"/>
    <w:rsid w:val="00510493"/>
    <w:rsid w:val="0051090F"/>
    <w:rsid w:val="00512D56"/>
    <w:rsid w:val="00514C1F"/>
    <w:rsid w:val="0051563C"/>
    <w:rsid w:val="00516246"/>
    <w:rsid w:val="00521F9F"/>
    <w:rsid w:val="00522FC8"/>
    <w:rsid w:val="00523602"/>
    <w:rsid w:val="00524A9A"/>
    <w:rsid w:val="00524D4E"/>
    <w:rsid w:val="0053046D"/>
    <w:rsid w:val="005347C3"/>
    <w:rsid w:val="0054066A"/>
    <w:rsid w:val="005430CC"/>
    <w:rsid w:val="00543F33"/>
    <w:rsid w:val="005445E2"/>
    <w:rsid w:val="005448C2"/>
    <w:rsid w:val="00545110"/>
    <w:rsid w:val="005459F7"/>
    <w:rsid w:val="00545E73"/>
    <w:rsid w:val="00546748"/>
    <w:rsid w:val="00546A14"/>
    <w:rsid w:val="005473E4"/>
    <w:rsid w:val="00547D20"/>
    <w:rsid w:val="00551F27"/>
    <w:rsid w:val="00553A0C"/>
    <w:rsid w:val="00553CF0"/>
    <w:rsid w:val="0055471D"/>
    <w:rsid w:val="005547B1"/>
    <w:rsid w:val="00554E35"/>
    <w:rsid w:val="00555B76"/>
    <w:rsid w:val="00556C70"/>
    <w:rsid w:val="00556D94"/>
    <w:rsid w:val="00561656"/>
    <w:rsid w:val="00561697"/>
    <w:rsid w:val="0056654F"/>
    <w:rsid w:val="00566DD6"/>
    <w:rsid w:val="00567AFA"/>
    <w:rsid w:val="005723C5"/>
    <w:rsid w:val="005738FA"/>
    <w:rsid w:val="0057400C"/>
    <w:rsid w:val="0057419E"/>
    <w:rsid w:val="005748E9"/>
    <w:rsid w:val="005805E7"/>
    <w:rsid w:val="00583130"/>
    <w:rsid w:val="005845A1"/>
    <w:rsid w:val="0058502C"/>
    <w:rsid w:val="0059222E"/>
    <w:rsid w:val="00593444"/>
    <w:rsid w:val="0059372E"/>
    <w:rsid w:val="00593F84"/>
    <w:rsid w:val="0059411B"/>
    <w:rsid w:val="00594B5F"/>
    <w:rsid w:val="00595C51"/>
    <w:rsid w:val="0059695B"/>
    <w:rsid w:val="005A1BA4"/>
    <w:rsid w:val="005A2736"/>
    <w:rsid w:val="005A47F7"/>
    <w:rsid w:val="005A50EC"/>
    <w:rsid w:val="005A59E7"/>
    <w:rsid w:val="005A6C86"/>
    <w:rsid w:val="005B11B1"/>
    <w:rsid w:val="005B1325"/>
    <w:rsid w:val="005B2F39"/>
    <w:rsid w:val="005B3208"/>
    <w:rsid w:val="005C0087"/>
    <w:rsid w:val="005C105F"/>
    <w:rsid w:val="005C2170"/>
    <w:rsid w:val="005C5622"/>
    <w:rsid w:val="005C7EC8"/>
    <w:rsid w:val="005D3612"/>
    <w:rsid w:val="005D4806"/>
    <w:rsid w:val="005D50D1"/>
    <w:rsid w:val="005E15C9"/>
    <w:rsid w:val="005E1695"/>
    <w:rsid w:val="005E1F9C"/>
    <w:rsid w:val="005E2CCE"/>
    <w:rsid w:val="005E3221"/>
    <w:rsid w:val="005E578F"/>
    <w:rsid w:val="005E6513"/>
    <w:rsid w:val="005E66DF"/>
    <w:rsid w:val="005E7099"/>
    <w:rsid w:val="005E7ECC"/>
    <w:rsid w:val="005F06FC"/>
    <w:rsid w:val="005F0AF4"/>
    <w:rsid w:val="005F0E75"/>
    <w:rsid w:val="005F236F"/>
    <w:rsid w:val="005F70CC"/>
    <w:rsid w:val="005F7DE6"/>
    <w:rsid w:val="00601B6B"/>
    <w:rsid w:val="0060299F"/>
    <w:rsid w:val="00603646"/>
    <w:rsid w:val="00612C18"/>
    <w:rsid w:val="006134B3"/>
    <w:rsid w:val="006144E3"/>
    <w:rsid w:val="006163E7"/>
    <w:rsid w:val="00621FF7"/>
    <w:rsid w:val="0062254A"/>
    <w:rsid w:val="00626725"/>
    <w:rsid w:val="00627EB7"/>
    <w:rsid w:val="00630845"/>
    <w:rsid w:val="006310D4"/>
    <w:rsid w:val="006311EE"/>
    <w:rsid w:val="006345E9"/>
    <w:rsid w:val="006358CB"/>
    <w:rsid w:val="00635E1D"/>
    <w:rsid w:val="006363D7"/>
    <w:rsid w:val="00636FE0"/>
    <w:rsid w:val="006371D1"/>
    <w:rsid w:val="00637426"/>
    <w:rsid w:val="006374B0"/>
    <w:rsid w:val="00637525"/>
    <w:rsid w:val="00640688"/>
    <w:rsid w:val="006411DB"/>
    <w:rsid w:val="0064162F"/>
    <w:rsid w:val="00644A44"/>
    <w:rsid w:val="00645A0C"/>
    <w:rsid w:val="00645F5B"/>
    <w:rsid w:val="0064602E"/>
    <w:rsid w:val="00646A37"/>
    <w:rsid w:val="00650895"/>
    <w:rsid w:val="006508A1"/>
    <w:rsid w:val="006518D5"/>
    <w:rsid w:val="00651E86"/>
    <w:rsid w:val="00652309"/>
    <w:rsid w:val="006560AA"/>
    <w:rsid w:val="0066014B"/>
    <w:rsid w:val="00660972"/>
    <w:rsid w:val="00661064"/>
    <w:rsid w:val="00662072"/>
    <w:rsid w:val="00664183"/>
    <w:rsid w:val="0066440E"/>
    <w:rsid w:val="00664689"/>
    <w:rsid w:val="006667CE"/>
    <w:rsid w:val="006675F0"/>
    <w:rsid w:val="0066791D"/>
    <w:rsid w:val="00667E80"/>
    <w:rsid w:val="00671042"/>
    <w:rsid w:val="00682396"/>
    <w:rsid w:val="006838D5"/>
    <w:rsid w:val="00687089"/>
    <w:rsid w:val="006873D2"/>
    <w:rsid w:val="00690627"/>
    <w:rsid w:val="006913D1"/>
    <w:rsid w:val="0069296E"/>
    <w:rsid w:val="00693FC7"/>
    <w:rsid w:val="006951C3"/>
    <w:rsid w:val="0069603F"/>
    <w:rsid w:val="006964BD"/>
    <w:rsid w:val="00696563"/>
    <w:rsid w:val="006A08CD"/>
    <w:rsid w:val="006A28AA"/>
    <w:rsid w:val="006A4F7D"/>
    <w:rsid w:val="006A6B06"/>
    <w:rsid w:val="006A706C"/>
    <w:rsid w:val="006A7736"/>
    <w:rsid w:val="006B055D"/>
    <w:rsid w:val="006B0D47"/>
    <w:rsid w:val="006B5E1E"/>
    <w:rsid w:val="006B744A"/>
    <w:rsid w:val="006C1CCE"/>
    <w:rsid w:val="006C4D5B"/>
    <w:rsid w:val="006C541A"/>
    <w:rsid w:val="006C6227"/>
    <w:rsid w:val="006C644F"/>
    <w:rsid w:val="006D005A"/>
    <w:rsid w:val="006D0877"/>
    <w:rsid w:val="006D1103"/>
    <w:rsid w:val="006D261B"/>
    <w:rsid w:val="006D4067"/>
    <w:rsid w:val="006D4EF8"/>
    <w:rsid w:val="006D4FC5"/>
    <w:rsid w:val="006D6E29"/>
    <w:rsid w:val="006D6E37"/>
    <w:rsid w:val="006D71B6"/>
    <w:rsid w:val="006E03E9"/>
    <w:rsid w:val="006E0926"/>
    <w:rsid w:val="006E1930"/>
    <w:rsid w:val="006E41B3"/>
    <w:rsid w:val="006E45A4"/>
    <w:rsid w:val="006E578F"/>
    <w:rsid w:val="006E6045"/>
    <w:rsid w:val="006E6242"/>
    <w:rsid w:val="006E6EC2"/>
    <w:rsid w:val="006E76E0"/>
    <w:rsid w:val="006F2356"/>
    <w:rsid w:val="006F2F0A"/>
    <w:rsid w:val="006F41BD"/>
    <w:rsid w:val="006F6299"/>
    <w:rsid w:val="006F6DA4"/>
    <w:rsid w:val="006F7016"/>
    <w:rsid w:val="006F78A6"/>
    <w:rsid w:val="00701AA5"/>
    <w:rsid w:val="00701B0D"/>
    <w:rsid w:val="00703E6F"/>
    <w:rsid w:val="00704E58"/>
    <w:rsid w:val="00710F13"/>
    <w:rsid w:val="00712300"/>
    <w:rsid w:val="00712D0D"/>
    <w:rsid w:val="007130BD"/>
    <w:rsid w:val="00723714"/>
    <w:rsid w:val="007239E8"/>
    <w:rsid w:val="00724656"/>
    <w:rsid w:val="0072565F"/>
    <w:rsid w:val="00733143"/>
    <w:rsid w:val="007368F7"/>
    <w:rsid w:val="00737791"/>
    <w:rsid w:val="00737C1C"/>
    <w:rsid w:val="0074000D"/>
    <w:rsid w:val="00743431"/>
    <w:rsid w:val="0074425E"/>
    <w:rsid w:val="00750115"/>
    <w:rsid w:val="00750362"/>
    <w:rsid w:val="007513AE"/>
    <w:rsid w:val="007538C2"/>
    <w:rsid w:val="0075471F"/>
    <w:rsid w:val="007554FC"/>
    <w:rsid w:val="00755FB7"/>
    <w:rsid w:val="007562DD"/>
    <w:rsid w:val="0075731F"/>
    <w:rsid w:val="0075733E"/>
    <w:rsid w:val="007621A3"/>
    <w:rsid w:val="00762D76"/>
    <w:rsid w:val="00763F79"/>
    <w:rsid w:val="007650D8"/>
    <w:rsid w:val="00772FA8"/>
    <w:rsid w:val="00774A36"/>
    <w:rsid w:val="00777BD7"/>
    <w:rsid w:val="0078058D"/>
    <w:rsid w:val="00782D92"/>
    <w:rsid w:val="007838C8"/>
    <w:rsid w:val="00783EB0"/>
    <w:rsid w:val="00784E00"/>
    <w:rsid w:val="007857BB"/>
    <w:rsid w:val="00786671"/>
    <w:rsid w:val="00787A1C"/>
    <w:rsid w:val="007902AB"/>
    <w:rsid w:val="007905E8"/>
    <w:rsid w:val="00792374"/>
    <w:rsid w:val="007937C2"/>
    <w:rsid w:val="00793E57"/>
    <w:rsid w:val="00793EEC"/>
    <w:rsid w:val="00795037"/>
    <w:rsid w:val="007A025B"/>
    <w:rsid w:val="007A097E"/>
    <w:rsid w:val="007A14BE"/>
    <w:rsid w:val="007A1A5D"/>
    <w:rsid w:val="007A4E2F"/>
    <w:rsid w:val="007A5AAD"/>
    <w:rsid w:val="007A5B75"/>
    <w:rsid w:val="007A6DD3"/>
    <w:rsid w:val="007A71C8"/>
    <w:rsid w:val="007A7E71"/>
    <w:rsid w:val="007B0A61"/>
    <w:rsid w:val="007B1DCC"/>
    <w:rsid w:val="007B2343"/>
    <w:rsid w:val="007B40F6"/>
    <w:rsid w:val="007B4A4E"/>
    <w:rsid w:val="007B51A8"/>
    <w:rsid w:val="007B60BC"/>
    <w:rsid w:val="007C098B"/>
    <w:rsid w:val="007C0CE3"/>
    <w:rsid w:val="007C19E7"/>
    <w:rsid w:val="007C43D4"/>
    <w:rsid w:val="007C46DC"/>
    <w:rsid w:val="007C5510"/>
    <w:rsid w:val="007C5DA3"/>
    <w:rsid w:val="007D243A"/>
    <w:rsid w:val="007D27E5"/>
    <w:rsid w:val="007D2A43"/>
    <w:rsid w:val="007D2D3A"/>
    <w:rsid w:val="007D300B"/>
    <w:rsid w:val="007D45FF"/>
    <w:rsid w:val="007D47B4"/>
    <w:rsid w:val="007D4873"/>
    <w:rsid w:val="007D504E"/>
    <w:rsid w:val="007D6108"/>
    <w:rsid w:val="007D731A"/>
    <w:rsid w:val="007D755F"/>
    <w:rsid w:val="007D7C98"/>
    <w:rsid w:val="007D7E47"/>
    <w:rsid w:val="007E0060"/>
    <w:rsid w:val="007E0DA1"/>
    <w:rsid w:val="007E0FD1"/>
    <w:rsid w:val="007E166F"/>
    <w:rsid w:val="007E4E39"/>
    <w:rsid w:val="007E50C3"/>
    <w:rsid w:val="007E69A5"/>
    <w:rsid w:val="007E740C"/>
    <w:rsid w:val="007E7AE5"/>
    <w:rsid w:val="007F131D"/>
    <w:rsid w:val="007F2D87"/>
    <w:rsid w:val="007F4424"/>
    <w:rsid w:val="007F6F56"/>
    <w:rsid w:val="007F7F4D"/>
    <w:rsid w:val="008000AE"/>
    <w:rsid w:val="008002FF"/>
    <w:rsid w:val="008019F7"/>
    <w:rsid w:val="0080723E"/>
    <w:rsid w:val="00807321"/>
    <w:rsid w:val="0081123C"/>
    <w:rsid w:val="00814140"/>
    <w:rsid w:val="00815AFB"/>
    <w:rsid w:val="00815B90"/>
    <w:rsid w:val="00816348"/>
    <w:rsid w:val="00816E3B"/>
    <w:rsid w:val="008238A4"/>
    <w:rsid w:val="00825083"/>
    <w:rsid w:val="008269E4"/>
    <w:rsid w:val="00826FA1"/>
    <w:rsid w:val="0083143F"/>
    <w:rsid w:val="00834101"/>
    <w:rsid w:val="008350A7"/>
    <w:rsid w:val="00842E57"/>
    <w:rsid w:val="0084625A"/>
    <w:rsid w:val="00846632"/>
    <w:rsid w:val="00846BC3"/>
    <w:rsid w:val="00846D67"/>
    <w:rsid w:val="0085138D"/>
    <w:rsid w:val="00852231"/>
    <w:rsid w:val="00854958"/>
    <w:rsid w:val="00855782"/>
    <w:rsid w:val="00856E82"/>
    <w:rsid w:val="0085783D"/>
    <w:rsid w:val="00860290"/>
    <w:rsid w:val="00860520"/>
    <w:rsid w:val="0086197A"/>
    <w:rsid w:val="008624F0"/>
    <w:rsid w:val="00862EA6"/>
    <w:rsid w:val="00863BBB"/>
    <w:rsid w:val="00870216"/>
    <w:rsid w:val="00873043"/>
    <w:rsid w:val="00874BC2"/>
    <w:rsid w:val="00877758"/>
    <w:rsid w:val="00880143"/>
    <w:rsid w:val="00881776"/>
    <w:rsid w:val="008817F1"/>
    <w:rsid w:val="0088721C"/>
    <w:rsid w:val="00887230"/>
    <w:rsid w:val="00890BEA"/>
    <w:rsid w:val="00891F7B"/>
    <w:rsid w:val="00893EC2"/>
    <w:rsid w:val="008940E9"/>
    <w:rsid w:val="0089456B"/>
    <w:rsid w:val="008960BD"/>
    <w:rsid w:val="0089621F"/>
    <w:rsid w:val="00896E32"/>
    <w:rsid w:val="008A06C1"/>
    <w:rsid w:val="008A1EA2"/>
    <w:rsid w:val="008A237A"/>
    <w:rsid w:val="008A2417"/>
    <w:rsid w:val="008A4CBA"/>
    <w:rsid w:val="008B08E0"/>
    <w:rsid w:val="008B0BE7"/>
    <w:rsid w:val="008B4602"/>
    <w:rsid w:val="008B573D"/>
    <w:rsid w:val="008C5C6F"/>
    <w:rsid w:val="008C661B"/>
    <w:rsid w:val="008D15D1"/>
    <w:rsid w:val="008D34F6"/>
    <w:rsid w:val="008D360E"/>
    <w:rsid w:val="008D44CA"/>
    <w:rsid w:val="008D51AA"/>
    <w:rsid w:val="008D5674"/>
    <w:rsid w:val="008D58CD"/>
    <w:rsid w:val="008D59CB"/>
    <w:rsid w:val="008D6B21"/>
    <w:rsid w:val="008E1B67"/>
    <w:rsid w:val="008E2AE7"/>
    <w:rsid w:val="008E68A9"/>
    <w:rsid w:val="008E6AD1"/>
    <w:rsid w:val="008E6D1D"/>
    <w:rsid w:val="008F2DD7"/>
    <w:rsid w:val="008F45FB"/>
    <w:rsid w:val="008F4981"/>
    <w:rsid w:val="009001EA"/>
    <w:rsid w:val="00900483"/>
    <w:rsid w:val="009005B1"/>
    <w:rsid w:val="00900A61"/>
    <w:rsid w:val="00901340"/>
    <w:rsid w:val="0090363C"/>
    <w:rsid w:val="009052C9"/>
    <w:rsid w:val="00910249"/>
    <w:rsid w:val="00910DE3"/>
    <w:rsid w:val="00911438"/>
    <w:rsid w:val="009123AF"/>
    <w:rsid w:val="009137A5"/>
    <w:rsid w:val="00913B9C"/>
    <w:rsid w:val="00914296"/>
    <w:rsid w:val="00916556"/>
    <w:rsid w:val="00916BC5"/>
    <w:rsid w:val="00920B08"/>
    <w:rsid w:val="00921773"/>
    <w:rsid w:val="00922817"/>
    <w:rsid w:val="009237F5"/>
    <w:rsid w:val="0092384D"/>
    <w:rsid w:val="00923CC9"/>
    <w:rsid w:val="00924C10"/>
    <w:rsid w:val="00925540"/>
    <w:rsid w:val="00925A73"/>
    <w:rsid w:val="009263B5"/>
    <w:rsid w:val="00927409"/>
    <w:rsid w:val="009306AC"/>
    <w:rsid w:val="0093372E"/>
    <w:rsid w:val="00934AAF"/>
    <w:rsid w:val="00935104"/>
    <w:rsid w:val="009366B3"/>
    <w:rsid w:val="009411AA"/>
    <w:rsid w:val="009414B6"/>
    <w:rsid w:val="00941825"/>
    <w:rsid w:val="0094184A"/>
    <w:rsid w:val="00942DB6"/>
    <w:rsid w:val="00946874"/>
    <w:rsid w:val="0094694F"/>
    <w:rsid w:val="00946BA2"/>
    <w:rsid w:val="0094778C"/>
    <w:rsid w:val="00947B2D"/>
    <w:rsid w:val="00950D29"/>
    <w:rsid w:val="00951198"/>
    <w:rsid w:val="0095292F"/>
    <w:rsid w:val="00956987"/>
    <w:rsid w:val="0095716E"/>
    <w:rsid w:val="009645AC"/>
    <w:rsid w:val="00965B18"/>
    <w:rsid w:val="00966E5D"/>
    <w:rsid w:val="0097123C"/>
    <w:rsid w:val="0097196D"/>
    <w:rsid w:val="0097210A"/>
    <w:rsid w:val="0097382C"/>
    <w:rsid w:val="009752D7"/>
    <w:rsid w:val="00975345"/>
    <w:rsid w:val="009756A8"/>
    <w:rsid w:val="0097670F"/>
    <w:rsid w:val="009805E1"/>
    <w:rsid w:val="00981B07"/>
    <w:rsid w:val="00984AFD"/>
    <w:rsid w:val="00985571"/>
    <w:rsid w:val="009861CA"/>
    <w:rsid w:val="00986E54"/>
    <w:rsid w:val="0098776D"/>
    <w:rsid w:val="009877CF"/>
    <w:rsid w:val="00990536"/>
    <w:rsid w:val="0099118D"/>
    <w:rsid w:val="00991B4D"/>
    <w:rsid w:val="00993FAA"/>
    <w:rsid w:val="009942C1"/>
    <w:rsid w:val="00995DB3"/>
    <w:rsid w:val="009A0656"/>
    <w:rsid w:val="009A1CD2"/>
    <w:rsid w:val="009A221D"/>
    <w:rsid w:val="009A31B6"/>
    <w:rsid w:val="009A55B3"/>
    <w:rsid w:val="009A76D5"/>
    <w:rsid w:val="009A7BFE"/>
    <w:rsid w:val="009B072C"/>
    <w:rsid w:val="009B0F12"/>
    <w:rsid w:val="009B21AD"/>
    <w:rsid w:val="009B2651"/>
    <w:rsid w:val="009B2946"/>
    <w:rsid w:val="009B2A53"/>
    <w:rsid w:val="009B2D6C"/>
    <w:rsid w:val="009B3DAE"/>
    <w:rsid w:val="009B4870"/>
    <w:rsid w:val="009B62B5"/>
    <w:rsid w:val="009B7F45"/>
    <w:rsid w:val="009C5455"/>
    <w:rsid w:val="009D065B"/>
    <w:rsid w:val="009D18F4"/>
    <w:rsid w:val="009D3F32"/>
    <w:rsid w:val="009D3FEF"/>
    <w:rsid w:val="009D47F1"/>
    <w:rsid w:val="009D69F1"/>
    <w:rsid w:val="009E0749"/>
    <w:rsid w:val="009E172B"/>
    <w:rsid w:val="009E3888"/>
    <w:rsid w:val="009E3993"/>
    <w:rsid w:val="009E3A90"/>
    <w:rsid w:val="009E426D"/>
    <w:rsid w:val="009E4BF2"/>
    <w:rsid w:val="009F1165"/>
    <w:rsid w:val="009F146D"/>
    <w:rsid w:val="009F533B"/>
    <w:rsid w:val="009F7D43"/>
    <w:rsid w:val="00A0243E"/>
    <w:rsid w:val="00A02F8C"/>
    <w:rsid w:val="00A043F7"/>
    <w:rsid w:val="00A06D04"/>
    <w:rsid w:val="00A07BD7"/>
    <w:rsid w:val="00A100E6"/>
    <w:rsid w:val="00A10714"/>
    <w:rsid w:val="00A108D6"/>
    <w:rsid w:val="00A10C3A"/>
    <w:rsid w:val="00A11406"/>
    <w:rsid w:val="00A12BED"/>
    <w:rsid w:val="00A133B8"/>
    <w:rsid w:val="00A1373B"/>
    <w:rsid w:val="00A14151"/>
    <w:rsid w:val="00A23737"/>
    <w:rsid w:val="00A23C38"/>
    <w:rsid w:val="00A2415D"/>
    <w:rsid w:val="00A2563B"/>
    <w:rsid w:val="00A27083"/>
    <w:rsid w:val="00A270D0"/>
    <w:rsid w:val="00A307C7"/>
    <w:rsid w:val="00A30F97"/>
    <w:rsid w:val="00A34504"/>
    <w:rsid w:val="00A36034"/>
    <w:rsid w:val="00A363D0"/>
    <w:rsid w:val="00A36514"/>
    <w:rsid w:val="00A377D8"/>
    <w:rsid w:val="00A42878"/>
    <w:rsid w:val="00A43BC2"/>
    <w:rsid w:val="00A46DFA"/>
    <w:rsid w:val="00A479AB"/>
    <w:rsid w:val="00A5055B"/>
    <w:rsid w:val="00A51765"/>
    <w:rsid w:val="00A52C01"/>
    <w:rsid w:val="00A542FC"/>
    <w:rsid w:val="00A54E0A"/>
    <w:rsid w:val="00A55599"/>
    <w:rsid w:val="00A56303"/>
    <w:rsid w:val="00A56418"/>
    <w:rsid w:val="00A56CC3"/>
    <w:rsid w:val="00A61239"/>
    <w:rsid w:val="00A6149B"/>
    <w:rsid w:val="00A616F0"/>
    <w:rsid w:val="00A6302C"/>
    <w:rsid w:val="00A6385D"/>
    <w:rsid w:val="00A66366"/>
    <w:rsid w:val="00A66C43"/>
    <w:rsid w:val="00A729D5"/>
    <w:rsid w:val="00A73E49"/>
    <w:rsid w:val="00A74438"/>
    <w:rsid w:val="00A759D6"/>
    <w:rsid w:val="00A75A25"/>
    <w:rsid w:val="00A82BC2"/>
    <w:rsid w:val="00A85D28"/>
    <w:rsid w:val="00A86784"/>
    <w:rsid w:val="00A87AC7"/>
    <w:rsid w:val="00A91F7A"/>
    <w:rsid w:val="00A923CC"/>
    <w:rsid w:val="00A9296D"/>
    <w:rsid w:val="00A92BB3"/>
    <w:rsid w:val="00A944CD"/>
    <w:rsid w:val="00A95290"/>
    <w:rsid w:val="00A95FFB"/>
    <w:rsid w:val="00A97A29"/>
    <w:rsid w:val="00AA15AA"/>
    <w:rsid w:val="00AA32CF"/>
    <w:rsid w:val="00AB4883"/>
    <w:rsid w:val="00AB538E"/>
    <w:rsid w:val="00AB58CC"/>
    <w:rsid w:val="00AB5D51"/>
    <w:rsid w:val="00AC1DD7"/>
    <w:rsid w:val="00AC1F4F"/>
    <w:rsid w:val="00AC38EE"/>
    <w:rsid w:val="00AC4120"/>
    <w:rsid w:val="00AC60EA"/>
    <w:rsid w:val="00AC67D5"/>
    <w:rsid w:val="00AC6F64"/>
    <w:rsid w:val="00AC7275"/>
    <w:rsid w:val="00AD1146"/>
    <w:rsid w:val="00AD18A8"/>
    <w:rsid w:val="00AD2A30"/>
    <w:rsid w:val="00AD4455"/>
    <w:rsid w:val="00AD4BF2"/>
    <w:rsid w:val="00AE0171"/>
    <w:rsid w:val="00AE0319"/>
    <w:rsid w:val="00AE28C3"/>
    <w:rsid w:val="00AE32D8"/>
    <w:rsid w:val="00AE39EA"/>
    <w:rsid w:val="00AE471B"/>
    <w:rsid w:val="00AE4D8C"/>
    <w:rsid w:val="00AE50E8"/>
    <w:rsid w:val="00AE588E"/>
    <w:rsid w:val="00AE5F3E"/>
    <w:rsid w:val="00AE7ABD"/>
    <w:rsid w:val="00AF1744"/>
    <w:rsid w:val="00AF4C62"/>
    <w:rsid w:val="00B00B57"/>
    <w:rsid w:val="00B02244"/>
    <w:rsid w:val="00B0538A"/>
    <w:rsid w:val="00B059E9"/>
    <w:rsid w:val="00B0603F"/>
    <w:rsid w:val="00B077FE"/>
    <w:rsid w:val="00B11636"/>
    <w:rsid w:val="00B118E9"/>
    <w:rsid w:val="00B118EB"/>
    <w:rsid w:val="00B12328"/>
    <w:rsid w:val="00B12A69"/>
    <w:rsid w:val="00B12D57"/>
    <w:rsid w:val="00B134F1"/>
    <w:rsid w:val="00B13FB9"/>
    <w:rsid w:val="00B1497C"/>
    <w:rsid w:val="00B16748"/>
    <w:rsid w:val="00B169B3"/>
    <w:rsid w:val="00B20259"/>
    <w:rsid w:val="00B2037C"/>
    <w:rsid w:val="00B2608F"/>
    <w:rsid w:val="00B26581"/>
    <w:rsid w:val="00B267B8"/>
    <w:rsid w:val="00B3166D"/>
    <w:rsid w:val="00B32349"/>
    <w:rsid w:val="00B32509"/>
    <w:rsid w:val="00B330C4"/>
    <w:rsid w:val="00B330C5"/>
    <w:rsid w:val="00B3331F"/>
    <w:rsid w:val="00B3340E"/>
    <w:rsid w:val="00B33B28"/>
    <w:rsid w:val="00B36072"/>
    <w:rsid w:val="00B36838"/>
    <w:rsid w:val="00B36DAD"/>
    <w:rsid w:val="00B371D6"/>
    <w:rsid w:val="00B41869"/>
    <w:rsid w:val="00B438A0"/>
    <w:rsid w:val="00B446AD"/>
    <w:rsid w:val="00B475D2"/>
    <w:rsid w:val="00B47798"/>
    <w:rsid w:val="00B47DAA"/>
    <w:rsid w:val="00B5268F"/>
    <w:rsid w:val="00B53786"/>
    <w:rsid w:val="00B53C18"/>
    <w:rsid w:val="00B617A4"/>
    <w:rsid w:val="00B66010"/>
    <w:rsid w:val="00B6737F"/>
    <w:rsid w:val="00B67796"/>
    <w:rsid w:val="00B744FD"/>
    <w:rsid w:val="00B745F9"/>
    <w:rsid w:val="00B75994"/>
    <w:rsid w:val="00B7682C"/>
    <w:rsid w:val="00B76F72"/>
    <w:rsid w:val="00B77251"/>
    <w:rsid w:val="00B816FE"/>
    <w:rsid w:val="00B82585"/>
    <w:rsid w:val="00B82B34"/>
    <w:rsid w:val="00B855C3"/>
    <w:rsid w:val="00B857BC"/>
    <w:rsid w:val="00B86348"/>
    <w:rsid w:val="00B90A00"/>
    <w:rsid w:val="00B92A96"/>
    <w:rsid w:val="00B92CCC"/>
    <w:rsid w:val="00B9340D"/>
    <w:rsid w:val="00B958A9"/>
    <w:rsid w:val="00B96133"/>
    <w:rsid w:val="00B96313"/>
    <w:rsid w:val="00B967E9"/>
    <w:rsid w:val="00B97067"/>
    <w:rsid w:val="00B975DE"/>
    <w:rsid w:val="00BA2C7E"/>
    <w:rsid w:val="00BA397B"/>
    <w:rsid w:val="00BA3C2D"/>
    <w:rsid w:val="00BB1055"/>
    <w:rsid w:val="00BB134F"/>
    <w:rsid w:val="00BB1EBC"/>
    <w:rsid w:val="00BB2426"/>
    <w:rsid w:val="00BB39CB"/>
    <w:rsid w:val="00BB3E6A"/>
    <w:rsid w:val="00BB4248"/>
    <w:rsid w:val="00BB45D4"/>
    <w:rsid w:val="00BB4BFB"/>
    <w:rsid w:val="00BB4E3B"/>
    <w:rsid w:val="00BB61E9"/>
    <w:rsid w:val="00BC07B2"/>
    <w:rsid w:val="00BC0F82"/>
    <w:rsid w:val="00BC28C3"/>
    <w:rsid w:val="00BC3B8D"/>
    <w:rsid w:val="00BC46D7"/>
    <w:rsid w:val="00BC7499"/>
    <w:rsid w:val="00BD0223"/>
    <w:rsid w:val="00BD30FC"/>
    <w:rsid w:val="00BD377E"/>
    <w:rsid w:val="00BD420E"/>
    <w:rsid w:val="00BD488F"/>
    <w:rsid w:val="00BD4AD2"/>
    <w:rsid w:val="00BD79CF"/>
    <w:rsid w:val="00BD7FBE"/>
    <w:rsid w:val="00BE0EC7"/>
    <w:rsid w:val="00BE13BC"/>
    <w:rsid w:val="00BE2B72"/>
    <w:rsid w:val="00BE453A"/>
    <w:rsid w:val="00BE540F"/>
    <w:rsid w:val="00BE57C8"/>
    <w:rsid w:val="00BE5FC0"/>
    <w:rsid w:val="00BE6987"/>
    <w:rsid w:val="00BE6DD4"/>
    <w:rsid w:val="00BE7BD6"/>
    <w:rsid w:val="00BF04E4"/>
    <w:rsid w:val="00BF05E4"/>
    <w:rsid w:val="00BF1490"/>
    <w:rsid w:val="00BF3998"/>
    <w:rsid w:val="00BF6916"/>
    <w:rsid w:val="00BF6C91"/>
    <w:rsid w:val="00BF7EBF"/>
    <w:rsid w:val="00C0001A"/>
    <w:rsid w:val="00C01FFA"/>
    <w:rsid w:val="00C02EE5"/>
    <w:rsid w:val="00C030DD"/>
    <w:rsid w:val="00C030FA"/>
    <w:rsid w:val="00C0398C"/>
    <w:rsid w:val="00C03B8E"/>
    <w:rsid w:val="00C03E10"/>
    <w:rsid w:val="00C04992"/>
    <w:rsid w:val="00C055F8"/>
    <w:rsid w:val="00C05B05"/>
    <w:rsid w:val="00C05D60"/>
    <w:rsid w:val="00C06CE7"/>
    <w:rsid w:val="00C1041E"/>
    <w:rsid w:val="00C121D2"/>
    <w:rsid w:val="00C1263B"/>
    <w:rsid w:val="00C1357F"/>
    <w:rsid w:val="00C176D1"/>
    <w:rsid w:val="00C202D2"/>
    <w:rsid w:val="00C20DF5"/>
    <w:rsid w:val="00C22B92"/>
    <w:rsid w:val="00C231ED"/>
    <w:rsid w:val="00C23B17"/>
    <w:rsid w:val="00C24ED9"/>
    <w:rsid w:val="00C31463"/>
    <w:rsid w:val="00C329F4"/>
    <w:rsid w:val="00C32AC9"/>
    <w:rsid w:val="00C3330E"/>
    <w:rsid w:val="00C366D5"/>
    <w:rsid w:val="00C36DCF"/>
    <w:rsid w:val="00C40B3C"/>
    <w:rsid w:val="00C4142C"/>
    <w:rsid w:val="00C41EFF"/>
    <w:rsid w:val="00C43157"/>
    <w:rsid w:val="00C431FB"/>
    <w:rsid w:val="00C43F00"/>
    <w:rsid w:val="00C441CE"/>
    <w:rsid w:val="00C44A5C"/>
    <w:rsid w:val="00C4664F"/>
    <w:rsid w:val="00C469B4"/>
    <w:rsid w:val="00C46B58"/>
    <w:rsid w:val="00C50E3A"/>
    <w:rsid w:val="00C51081"/>
    <w:rsid w:val="00C51128"/>
    <w:rsid w:val="00C51574"/>
    <w:rsid w:val="00C52544"/>
    <w:rsid w:val="00C52728"/>
    <w:rsid w:val="00C53451"/>
    <w:rsid w:val="00C56087"/>
    <w:rsid w:val="00C562FE"/>
    <w:rsid w:val="00C60E04"/>
    <w:rsid w:val="00C63008"/>
    <w:rsid w:val="00C63A1B"/>
    <w:rsid w:val="00C63B26"/>
    <w:rsid w:val="00C65B5F"/>
    <w:rsid w:val="00C67C9D"/>
    <w:rsid w:val="00C700E1"/>
    <w:rsid w:val="00C708F7"/>
    <w:rsid w:val="00C738B7"/>
    <w:rsid w:val="00C73C81"/>
    <w:rsid w:val="00C740A4"/>
    <w:rsid w:val="00C7450D"/>
    <w:rsid w:val="00C807E4"/>
    <w:rsid w:val="00C80B31"/>
    <w:rsid w:val="00C81F97"/>
    <w:rsid w:val="00C82508"/>
    <w:rsid w:val="00C85EAC"/>
    <w:rsid w:val="00C879F5"/>
    <w:rsid w:val="00C9061D"/>
    <w:rsid w:val="00C9180C"/>
    <w:rsid w:val="00C93BD4"/>
    <w:rsid w:val="00C9426B"/>
    <w:rsid w:val="00C942B3"/>
    <w:rsid w:val="00C94494"/>
    <w:rsid w:val="00C9497A"/>
    <w:rsid w:val="00C9717F"/>
    <w:rsid w:val="00CA2B16"/>
    <w:rsid w:val="00CA334E"/>
    <w:rsid w:val="00CA33C6"/>
    <w:rsid w:val="00CA4026"/>
    <w:rsid w:val="00CA45CC"/>
    <w:rsid w:val="00CA746B"/>
    <w:rsid w:val="00CB11F4"/>
    <w:rsid w:val="00CB1270"/>
    <w:rsid w:val="00CB42F2"/>
    <w:rsid w:val="00CB4E91"/>
    <w:rsid w:val="00CB65E6"/>
    <w:rsid w:val="00CB7A5C"/>
    <w:rsid w:val="00CC158E"/>
    <w:rsid w:val="00CC15F0"/>
    <w:rsid w:val="00CC3F7A"/>
    <w:rsid w:val="00CC4E1D"/>
    <w:rsid w:val="00CC5BE3"/>
    <w:rsid w:val="00CD018F"/>
    <w:rsid w:val="00CD1372"/>
    <w:rsid w:val="00CD18D0"/>
    <w:rsid w:val="00CD328B"/>
    <w:rsid w:val="00CD5FAF"/>
    <w:rsid w:val="00CE07B1"/>
    <w:rsid w:val="00CE0944"/>
    <w:rsid w:val="00CE38FB"/>
    <w:rsid w:val="00CE417A"/>
    <w:rsid w:val="00CF17D3"/>
    <w:rsid w:val="00CF1C85"/>
    <w:rsid w:val="00CF3051"/>
    <w:rsid w:val="00CF41F8"/>
    <w:rsid w:val="00CF56D8"/>
    <w:rsid w:val="00CF597A"/>
    <w:rsid w:val="00D00372"/>
    <w:rsid w:val="00D00A1D"/>
    <w:rsid w:val="00D00EE4"/>
    <w:rsid w:val="00D01BD7"/>
    <w:rsid w:val="00D0333A"/>
    <w:rsid w:val="00D041F9"/>
    <w:rsid w:val="00D045CC"/>
    <w:rsid w:val="00D04A05"/>
    <w:rsid w:val="00D0508D"/>
    <w:rsid w:val="00D0614C"/>
    <w:rsid w:val="00D07593"/>
    <w:rsid w:val="00D1086F"/>
    <w:rsid w:val="00D10D61"/>
    <w:rsid w:val="00D11243"/>
    <w:rsid w:val="00D120D3"/>
    <w:rsid w:val="00D1293A"/>
    <w:rsid w:val="00D12BC5"/>
    <w:rsid w:val="00D152EA"/>
    <w:rsid w:val="00D153C4"/>
    <w:rsid w:val="00D15B72"/>
    <w:rsid w:val="00D1727F"/>
    <w:rsid w:val="00D173FB"/>
    <w:rsid w:val="00D1753F"/>
    <w:rsid w:val="00D20667"/>
    <w:rsid w:val="00D22AB6"/>
    <w:rsid w:val="00D24952"/>
    <w:rsid w:val="00D25177"/>
    <w:rsid w:val="00D2537D"/>
    <w:rsid w:val="00D262A0"/>
    <w:rsid w:val="00D26FB5"/>
    <w:rsid w:val="00D27317"/>
    <w:rsid w:val="00D3064F"/>
    <w:rsid w:val="00D32BF8"/>
    <w:rsid w:val="00D32FEC"/>
    <w:rsid w:val="00D33854"/>
    <w:rsid w:val="00D34924"/>
    <w:rsid w:val="00D34DED"/>
    <w:rsid w:val="00D370CD"/>
    <w:rsid w:val="00D374C2"/>
    <w:rsid w:val="00D40257"/>
    <w:rsid w:val="00D421DE"/>
    <w:rsid w:val="00D4266E"/>
    <w:rsid w:val="00D42B60"/>
    <w:rsid w:val="00D446F7"/>
    <w:rsid w:val="00D456DB"/>
    <w:rsid w:val="00D45A3B"/>
    <w:rsid w:val="00D45EAC"/>
    <w:rsid w:val="00D5110C"/>
    <w:rsid w:val="00D51580"/>
    <w:rsid w:val="00D51EEA"/>
    <w:rsid w:val="00D53575"/>
    <w:rsid w:val="00D5562B"/>
    <w:rsid w:val="00D55DCE"/>
    <w:rsid w:val="00D57603"/>
    <w:rsid w:val="00D6089F"/>
    <w:rsid w:val="00D611AF"/>
    <w:rsid w:val="00D65E66"/>
    <w:rsid w:val="00D70390"/>
    <w:rsid w:val="00D7059B"/>
    <w:rsid w:val="00D71140"/>
    <w:rsid w:val="00D74E03"/>
    <w:rsid w:val="00D76E0F"/>
    <w:rsid w:val="00D82AC6"/>
    <w:rsid w:val="00D85DEF"/>
    <w:rsid w:val="00D86FF1"/>
    <w:rsid w:val="00D8718F"/>
    <w:rsid w:val="00D87447"/>
    <w:rsid w:val="00D91308"/>
    <w:rsid w:val="00D92718"/>
    <w:rsid w:val="00D92E73"/>
    <w:rsid w:val="00D9398E"/>
    <w:rsid w:val="00D94326"/>
    <w:rsid w:val="00D94D8A"/>
    <w:rsid w:val="00D95DD6"/>
    <w:rsid w:val="00D9608E"/>
    <w:rsid w:val="00D969B2"/>
    <w:rsid w:val="00D96BD2"/>
    <w:rsid w:val="00D96D1C"/>
    <w:rsid w:val="00D96DC3"/>
    <w:rsid w:val="00DA0002"/>
    <w:rsid w:val="00DA1C8E"/>
    <w:rsid w:val="00DA280D"/>
    <w:rsid w:val="00DA29C6"/>
    <w:rsid w:val="00DA31EB"/>
    <w:rsid w:val="00DA54B5"/>
    <w:rsid w:val="00DA6C13"/>
    <w:rsid w:val="00DA7213"/>
    <w:rsid w:val="00DA7C5A"/>
    <w:rsid w:val="00DB4201"/>
    <w:rsid w:val="00DB4461"/>
    <w:rsid w:val="00DB44FB"/>
    <w:rsid w:val="00DB4A1A"/>
    <w:rsid w:val="00DB5F95"/>
    <w:rsid w:val="00DB5FFF"/>
    <w:rsid w:val="00DB668B"/>
    <w:rsid w:val="00DB7A25"/>
    <w:rsid w:val="00DC1894"/>
    <w:rsid w:val="00DC2069"/>
    <w:rsid w:val="00DC2912"/>
    <w:rsid w:val="00DC31EA"/>
    <w:rsid w:val="00DC3A7A"/>
    <w:rsid w:val="00DC3DAA"/>
    <w:rsid w:val="00DC680D"/>
    <w:rsid w:val="00DC69B0"/>
    <w:rsid w:val="00DC70C3"/>
    <w:rsid w:val="00DC7BD2"/>
    <w:rsid w:val="00DD102D"/>
    <w:rsid w:val="00DD1393"/>
    <w:rsid w:val="00DD17D5"/>
    <w:rsid w:val="00DD24F5"/>
    <w:rsid w:val="00DD2ACA"/>
    <w:rsid w:val="00DD67E2"/>
    <w:rsid w:val="00DD7F8F"/>
    <w:rsid w:val="00DE1A3F"/>
    <w:rsid w:val="00DE2AE9"/>
    <w:rsid w:val="00DE420B"/>
    <w:rsid w:val="00DE4B72"/>
    <w:rsid w:val="00DE6D21"/>
    <w:rsid w:val="00DE6F15"/>
    <w:rsid w:val="00DE7AC2"/>
    <w:rsid w:val="00DF1F8C"/>
    <w:rsid w:val="00DF7259"/>
    <w:rsid w:val="00DF74F0"/>
    <w:rsid w:val="00E00174"/>
    <w:rsid w:val="00E01D24"/>
    <w:rsid w:val="00E01F1C"/>
    <w:rsid w:val="00E021A6"/>
    <w:rsid w:val="00E02EDA"/>
    <w:rsid w:val="00E03231"/>
    <w:rsid w:val="00E06AFA"/>
    <w:rsid w:val="00E07645"/>
    <w:rsid w:val="00E1181A"/>
    <w:rsid w:val="00E15C99"/>
    <w:rsid w:val="00E15D9E"/>
    <w:rsid w:val="00E17F61"/>
    <w:rsid w:val="00E20CE0"/>
    <w:rsid w:val="00E22C43"/>
    <w:rsid w:val="00E23995"/>
    <w:rsid w:val="00E23F5B"/>
    <w:rsid w:val="00E23FDB"/>
    <w:rsid w:val="00E27F02"/>
    <w:rsid w:val="00E32171"/>
    <w:rsid w:val="00E32F2A"/>
    <w:rsid w:val="00E33360"/>
    <w:rsid w:val="00E33FB6"/>
    <w:rsid w:val="00E40E34"/>
    <w:rsid w:val="00E418CC"/>
    <w:rsid w:val="00E419C1"/>
    <w:rsid w:val="00E41B71"/>
    <w:rsid w:val="00E41CC3"/>
    <w:rsid w:val="00E426CD"/>
    <w:rsid w:val="00E4282F"/>
    <w:rsid w:val="00E50078"/>
    <w:rsid w:val="00E5419E"/>
    <w:rsid w:val="00E56FFA"/>
    <w:rsid w:val="00E63144"/>
    <w:rsid w:val="00E63309"/>
    <w:rsid w:val="00E6667C"/>
    <w:rsid w:val="00E6709F"/>
    <w:rsid w:val="00E7002A"/>
    <w:rsid w:val="00E70B0A"/>
    <w:rsid w:val="00E70E7F"/>
    <w:rsid w:val="00E720C7"/>
    <w:rsid w:val="00E73FD5"/>
    <w:rsid w:val="00E7495D"/>
    <w:rsid w:val="00E7603D"/>
    <w:rsid w:val="00E81440"/>
    <w:rsid w:val="00E81F3F"/>
    <w:rsid w:val="00E83368"/>
    <w:rsid w:val="00E84714"/>
    <w:rsid w:val="00E878DB"/>
    <w:rsid w:val="00E913DE"/>
    <w:rsid w:val="00E91C0C"/>
    <w:rsid w:val="00E91D7E"/>
    <w:rsid w:val="00E92A9B"/>
    <w:rsid w:val="00E94BF9"/>
    <w:rsid w:val="00E95333"/>
    <w:rsid w:val="00E97E4E"/>
    <w:rsid w:val="00EA0165"/>
    <w:rsid w:val="00EA0C93"/>
    <w:rsid w:val="00EA172A"/>
    <w:rsid w:val="00EA3216"/>
    <w:rsid w:val="00EA3554"/>
    <w:rsid w:val="00EA3A8E"/>
    <w:rsid w:val="00EA5EC9"/>
    <w:rsid w:val="00EB0527"/>
    <w:rsid w:val="00EB0F00"/>
    <w:rsid w:val="00EB1006"/>
    <w:rsid w:val="00EB1FC3"/>
    <w:rsid w:val="00EB2F5D"/>
    <w:rsid w:val="00EB3670"/>
    <w:rsid w:val="00EB5534"/>
    <w:rsid w:val="00EB6277"/>
    <w:rsid w:val="00EB672F"/>
    <w:rsid w:val="00EB6A53"/>
    <w:rsid w:val="00EB6D7A"/>
    <w:rsid w:val="00EC1E37"/>
    <w:rsid w:val="00EC22B1"/>
    <w:rsid w:val="00EC23A6"/>
    <w:rsid w:val="00EC2AE1"/>
    <w:rsid w:val="00EC308B"/>
    <w:rsid w:val="00EC54FA"/>
    <w:rsid w:val="00EC5A65"/>
    <w:rsid w:val="00EC5D1F"/>
    <w:rsid w:val="00EC64FC"/>
    <w:rsid w:val="00EC660C"/>
    <w:rsid w:val="00EC78B6"/>
    <w:rsid w:val="00EC7D34"/>
    <w:rsid w:val="00ED0B57"/>
    <w:rsid w:val="00ED117F"/>
    <w:rsid w:val="00ED15AC"/>
    <w:rsid w:val="00ED1FE3"/>
    <w:rsid w:val="00ED21D7"/>
    <w:rsid w:val="00ED2DBC"/>
    <w:rsid w:val="00ED2E8F"/>
    <w:rsid w:val="00ED3BCA"/>
    <w:rsid w:val="00ED5612"/>
    <w:rsid w:val="00ED59C8"/>
    <w:rsid w:val="00ED6074"/>
    <w:rsid w:val="00ED6388"/>
    <w:rsid w:val="00ED712B"/>
    <w:rsid w:val="00ED713B"/>
    <w:rsid w:val="00EE04B6"/>
    <w:rsid w:val="00EE065E"/>
    <w:rsid w:val="00EE1B6B"/>
    <w:rsid w:val="00EE28DA"/>
    <w:rsid w:val="00EE2CD3"/>
    <w:rsid w:val="00EE4C16"/>
    <w:rsid w:val="00EE52AB"/>
    <w:rsid w:val="00EE5373"/>
    <w:rsid w:val="00EE56F8"/>
    <w:rsid w:val="00EE584F"/>
    <w:rsid w:val="00EE6798"/>
    <w:rsid w:val="00EE7BAB"/>
    <w:rsid w:val="00EF36F5"/>
    <w:rsid w:val="00EF40DB"/>
    <w:rsid w:val="00EF4DC9"/>
    <w:rsid w:val="00EF5723"/>
    <w:rsid w:val="00EF5F32"/>
    <w:rsid w:val="00EF6104"/>
    <w:rsid w:val="00EF739F"/>
    <w:rsid w:val="00F002C7"/>
    <w:rsid w:val="00F0202A"/>
    <w:rsid w:val="00F029B8"/>
    <w:rsid w:val="00F03E15"/>
    <w:rsid w:val="00F04A11"/>
    <w:rsid w:val="00F04A7F"/>
    <w:rsid w:val="00F058DF"/>
    <w:rsid w:val="00F05988"/>
    <w:rsid w:val="00F0772E"/>
    <w:rsid w:val="00F11FA2"/>
    <w:rsid w:val="00F13445"/>
    <w:rsid w:val="00F14FC1"/>
    <w:rsid w:val="00F17302"/>
    <w:rsid w:val="00F17AF7"/>
    <w:rsid w:val="00F227CA"/>
    <w:rsid w:val="00F253CC"/>
    <w:rsid w:val="00F26B52"/>
    <w:rsid w:val="00F272BD"/>
    <w:rsid w:val="00F27E58"/>
    <w:rsid w:val="00F31E63"/>
    <w:rsid w:val="00F34E6B"/>
    <w:rsid w:val="00F35020"/>
    <w:rsid w:val="00F37098"/>
    <w:rsid w:val="00F376A6"/>
    <w:rsid w:val="00F40D25"/>
    <w:rsid w:val="00F419A1"/>
    <w:rsid w:val="00F45833"/>
    <w:rsid w:val="00F478C0"/>
    <w:rsid w:val="00F53DCC"/>
    <w:rsid w:val="00F53F68"/>
    <w:rsid w:val="00F5727B"/>
    <w:rsid w:val="00F612E2"/>
    <w:rsid w:val="00F61EC7"/>
    <w:rsid w:val="00F6246A"/>
    <w:rsid w:val="00F65487"/>
    <w:rsid w:val="00F65FAF"/>
    <w:rsid w:val="00F66235"/>
    <w:rsid w:val="00F665B8"/>
    <w:rsid w:val="00F67F61"/>
    <w:rsid w:val="00F70302"/>
    <w:rsid w:val="00F71397"/>
    <w:rsid w:val="00F71F05"/>
    <w:rsid w:val="00F75227"/>
    <w:rsid w:val="00F764E7"/>
    <w:rsid w:val="00F803E3"/>
    <w:rsid w:val="00F80E39"/>
    <w:rsid w:val="00F810C9"/>
    <w:rsid w:val="00F8128D"/>
    <w:rsid w:val="00F81451"/>
    <w:rsid w:val="00F82A8D"/>
    <w:rsid w:val="00F859BD"/>
    <w:rsid w:val="00F85A70"/>
    <w:rsid w:val="00F8687B"/>
    <w:rsid w:val="00F86DF5"/>
    <w:rsid w:val="00F90BA3"/>
    <w:rsid w:val="00F918B6"/>
    <w:rsid w:val="00F91A76"/>
    <w:rsid w:val="00F91D74"/>
    <w:rsid w:val="00F91E8A"/>
    <w:rsid w:val="00F936EB"/>
    <w:rsid w:val="00F954B0"/>
    <w:rsid w:val="00F97BEB"/>
    <w:rsid w:val="00FA2064"/>
    <w:rsid w:val="00FA3EF8"/>
    <w:rsid w:val="00FA4C4F"/>
    <w:rsid w:val="00FA4DF9"/>
    <w:rsid w:val="00FA4EB5"/>
    <w:rsid w:val="00FA53DC"/>
    <w:rsid w:val="00FA659E"/>
    <w:rsid w:val="00FA7C52"/>
    <w:rsid w:val="00FB00E4"/>
    <w:rsid w:val="00FB1932"/>
    <w:rsid w:val="00FB1E99"/>
    <w:rsid w:val="00FB1F54"/>
    <w:rsid w:val="00FC237F"/>
    <w:rsid w:val="00FC2D11"/>
    <w:rsid w:val="00FC5568"/>
    <w:rsid w:val="00FC5D05"/>
    <w:rsid w:val="00FC64F8"/>
    <w:rsid w:val="00FC6E32"/>
    <w:rsid w:val="00FC7A1A"/>
    <w:rsid w:val="00FC7A9F"/>
    <w:rsid w:val="00FD2700"/>
    <w:rsid w:val="00FD4157"/>
    <w:rsid w:val="00FD4CAE"/>
    <w:rsid w:val="00FD6397"/>
    <w:rsid w:val="00FD6DC5"/>
    <w:rsid w:val="00FD70C0"/>
    <w:rsid w:val="00FE66A2"/>
    <w:rsid w:val="00FF27D4"/>
    <w:rsid w:val="00FF2FCE"/>
    <w:rsid w:val="00FF3D3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stroke weight="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371D6"/>
    <w:rPr>
      <w:lang w:eastAsia="en-US"/>
    </w:rPr>
  </w:style>
  <w:style w:type="paragraph" w:styleId="Antrat1">
    <w:name w:val="heading 1"/>
    <w:basedOn w:val="prastasis"/>
    <w:next w:val="prastasis"/>
    <w:qFormat/>
    <w:rsid w:val="00EC5A65"/>
    <w:pPr>
      <w:keepNext/>
      <w:ind w:left="7200" w:firstLine="720"/>
      <w:outlineLvl w:val="0"/>
    </w:pPr>
    <w:rPr>
      <w:rFonts w:ascii="HelveticaLT" w:hAnsi="HelveticaLT"/>
      <w:sz w:val="24"/>
    </w:rPr>
  </w:style>
  <w:style w:type="paragraph" w:styleId="Antrat2">
    <w:name w:val="heading 2"/>
    <w:basedOn w:val="prastasis"/>
    <w:next w:val="prastasis"/>
    <w:qFormat/>
    <w:rsid w:val="00EC5A65"/>
    <w:pPr>
      <w:keepNext/>
      <w:jc w:val="center"/>
      <w:outlineLvl w:val="1"/>
    </w:pPr>
    <w:rPr>
      <w:b/>
      <w:sz w:val="24"/>
    </w:rPr>
  </w:style>
  <w:style w:type="paragraph" w:styleId="Antrat4">
    <w:name w:val="heading 4"/>
    <w:basedOn w:val="prastasis"/>
    <w:next w:val="prastasis"/>
    <w:qFormat/>
    <w:rsid w:val="00EC5A65"/>
    <w:pPr>
      <w:keepNext/>
      <w:spacing w:line="360" w:lineRule="auto"/>
      <w:jc w:val="both"/>
      <w:outlineLvl w:val="3"/>
    </w:pPr>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EC5A65"/>
    <w:pPr>
      <w:tabs>
        <w:tab w:val="center" w:pos="4320"/>
        <w:tab w:val="right" w:pos="8640"/>
      </w:tabs>
    </w:pPr>
  </w:style>
  <w:style w:type="paragraph" w:styleId="Porat">
    <w:name w:val="footer"/>
    <w:basedOn w:val="prastasis"/>
    <w:rsid w:val="00EC5A65"/>
    <w:pPr>
      <w:tabs>
        <w:tab w:val="center" w:pos="4320"/>
        <w:tab w:val="right" w:pos="8640"/>
      </w:tabs>
    </w:pPr>
  </w:style>
  <w:style w:type="character" w:styleId="Puslapionumeris">
    <w:name w:val="page number"/>
    <w:basedOn w:val="Numatytasispastraiposriftas"/>
    <w:rsid w:val="00EC5A65"/>
  </w:style>
  <w:style w:type="paragraph" w:styleId="Pagrindinistekstas">
    <w:name w:val="Body Text"/>
    <w:basedOn w:val="prastasis"/>
    <w:link w:val="PagrindinistekstasDiagrama"/>
    <w:rsid w:val="00EC5A65"/>
    <w:rPr>
      <w:rFonts w:ascii="TimesLT" w:hAnsi="TimesLT"/>
      <w:sz w:val="22"/>
    </w:rPr>
  </w:style>
  <w:style w:type="paragraph" w:styleId="Pavadinimas">
    <w:name w:val="Title"/>
    <w:basedOn w:val="prastasis"/>
    <w:qFormat/>
    <w:rsid w:val="00EC5A65"/>
    <w:pPr>
      <w:jc w:val="center"/>
    </w:pPr>
    <w:rPr>
      <w:b/>
      <w:sz w:val="28"/>
    </w:rPr>
  </w:style>
  <w:style w:type="paragraph" w:styleId="Antrinispavadinimas">
    <w:name w:val="Subtitle"/>
    <w:basedOn w:val="prastasis"/>
    <w:qFormat/>
    <w:rsid w:val="00EC5A65"/>
    <w:pPr>
      <w:jc w:val="center"/>
    </w:pPr>
    <w:rPr>
      <w:b/>
      <w:sz w:val="28"/>
    </w:rPr>
  </w:style>
  <w:style w:type="paragraph" w:styleId="Pagrindiniotekstotrauka">
    <w:name w:val="Body Text Indent"/>
    <w:basedOn w:val="prastasis"/>
    <w:rsid w:val="00EC5A65"/>
    <w:pPr>
      <w:spacing w:before="120"/>
      <w:ind w:left="4536"/>
      <w:jc w:val="center"/>
    </w:pPr>
    <w:rPr>
      <w:sz w:val="24"/>
    </w:rPr>
  </w:style>
  <w:style w:type="paragraph" w:styleId="Pagrindinistekstas2">
    <w:name w:val="Body Text 2"/>
    <w:basedOn w:val="prastasis"/>
    <w:rsid w:val="00EC5A65"/>
    <w:pPr>
      <w:spacing w:line="360" w:lineRule="auto"/>
      <w:jc w:val="both"/>
    </w:pPr>
    <w:rPr>
      <w:sz w:val="24"/>
    </w:rPr>
  </w:style>
  <w:style w:type="paragraph" w:styleId="Pagrindinistekstas3">
    <w:name w:val="Body Text 3"/>
    <w:basedOn w:val="prastasis"/>
    <w:rsid w:val="00EC5A65"/>
    <w:pPr>
      <w:jc w:val="both"/>
    </w:pPr>
    <w:rPr>
      <w:b/>
      <w:sz w:val="24"/>
    </w:rPr>
  </w:style>
  <w:style w:type="paragraph" w:styleId="Debesliotekstas">
    <w:name w:val="Balloon Text"/>
    <w:basedOn w:val="prastasis"/>
    <w:semiHidden/>
    <w:rsid w:val="00EB0F00"/>
    <w:rPr>
      <w:rFonts w:ascii="Tahoma" w:hAnsi="Tahoma" w:cs="Tahoma"/>
      <w:sz w:val="16"/>
      <w:szCs w:val="16"/>
    </w:rPr>
  </w:style>
  <w:style w:type="paragraph" w:styleId="prastasistinklapis">
    <w:name w:val="Normal (Web)"/>
    <w:basedOn w:val="prastasis"/>
    <w:rsid w:val="006E6EC2"/>
    <w:pPr>
      <w:spacing w:before="100" w:beforeAutospacing="1" w:after="100" w:afterAutospacing="1"/>
    </w:pPr>
    <w:rPr>
      <w:sz w:val="24"/>
      <w:szCs w:val="24"/>
      <w:lang w:eastAsia="lt-LT"/>
    </w:rPr>
  </w:style>
  <w:style w:type="character" w:styleId="Grietas">
    <w:name w:val="Strong"/>
    <w:qFormat/>
    <w:rsid w:val="004070F0"/>
    <w:rPr>
      <w:b/>
      <w:bCs/>
    </w:rPr>
  </w:style>
  <w:style w:type="table" w:styleId="Lentelstinklelis">
    <w:name w:val="Table Grid"/>
    <w:basedOn w:val="prastojilentel"/>
    <w:rsid w:val="005547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oblokas">
    <w:name w:val="Block Text"/>
    <w:basedOn w:val="prastasis"/>
    <w:rsid w:val="00763F79"/>
    <w:pPr>
      <w:ind w:left="-540" w:right="-1234" w:firstLine="1080"/>
      <w:jc w:val="both"/>
    </w:pPr>
    <w:rPr>
      <w:sz w:val="24"/>
      <w:szCs w:val="24"/>
    </w:rPr>
  </w:style>
  <w:style w:type="character" w:styleId="Komentaronuoroda">
    <w:name w:val="annotation reference"/>
    <w:semiHidden/>
    <w:rsid w:val="00763F79"/>
    <w:rPr>
      <w:sz w:val="16"/>
    </w:rPr>
  </w:style>
  <w:style w:type="paragraph" w:customStyle="1" w:styleId="DiagramaDiagrama2">
    <w:name w:val="Diagrama Diagrama2"/>
    <w:basedOn w:val="prastasis"/>
    <w:rsid w:val="00763F79"/>
    <w:pPr>
      <w:spacing w:after="160" w:line="240" w:lineRule="exact"/>
    </w:pPr>
    <w:rPr>
      <w:rFonts w:ascii="Tahoma" w:hAnsi="Tahoma"/>
      <w:lang w:val="en-US"/>
    </w:rPr>
  </w:style>
  <w:style w:type="character" w:customStyle="1" w:styleId="PagrindinistekstasDiagrama">
    <w:name w:val="Pagrindinis tekstas Diagrama"/>
    <w:link w:val="Pagrindinistekstas"/>
    <w:rsid w:val="00561697"/>
    <w:rPr>
      <w:rFonts w:ascii="TimesLT" w:hAnsi="TimesLT"/>
      <w:sz w:val="22"/>
      <w:lang w:val="lt-LT" w:eastAsia="en-US" w:bidi="ar-SA"/>
    </w:rPr>
  </w:style>
  <w:style w:type="character" w:customStyle="1" w:styleId="AntratsDiagrama">
    <w:name w:val="Antraštės Diagrama"/>
    <w:link w:val="Antrats"/>
    <w:uiPriority w:val="99"/>
    <w:rsid w:val="00CA45CC"/>
    <w:rPr>
      <w:lang w:eastAsia="en-US"/>
    </w:rPr>
  </w:style>
  <w:style w:type="paragraph" w:styleId="Sraopastraipa">
    <w:name w:val="List Paragraph"/>
    <w:basedOn w:val="prastasis"/>
    <w:uiPriority w:val="34"/>
    <w:qFormat/>
    <w:rsid w:val="00345E57"/>
    <w:pPr>
      <w:ind w:left="720"/>
      <w:contextualSpacing/>
    </w:pPr>
  </w:style>
  <w:style w:type="character" w:styleId="Emfaz">
    <w:name w:val="Emphasis"/>
    <w:basedOn w:val="Numatytasispastraiposriftas"/>
    <w:qFormat/>
    <w:rsid w:val="00491E3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371D6"/>
    <w:rPr>
      <w:lang w:eastAsia="en-US"/>
    </w:rPr>
  </w:style>
  <w:style w:type="paragraph" w:styleId="Antrat1">
    <w:name w:val="heading 1"/>
    <w:basedOn w:val="prastasis"/>
    <w:next w:val="prastasis"/>
    <w:qFormat/>
    <w:rsid w:val="00EC5A65"/>
    <w:pPr>
      <w:keepNext/>
      <w:ind w:left="7200" w:firstLine="720"/>
      <w:outlineLvl w:val="0"/>
    </w:pPr>
    <w:rPr>
      <w:rFonts w:ascii="HelveticaLT" w:hAnsi="HelveticaLT"/>
      <w:sz w:val="24"/>
    </w:rPr>
  </w:style>
  <w:style w:type="paragraph" w:styleId="Antrat2">
    <w:name w:val="heading 2"/>
    <w:basedOn w:val="prastasis"/>
    <w:next w:val="prastasis"/>
    <w:qFormat/>
    <w:rsid w:val="00EC5A65"/>
    <w:pPr>
      <w:keepNext/>
      <w:jc w:val="center"/>
      <w:outlineLvl w:val="1"/>
    </w:pPr>
    <w:rPr>
      <w:b/>
      <w:sz w:val="24"/>
    </w:rPr>
  </w:style>
  <w:style w:type="paragraph" w:styleId="Antrat4">
    <w:name w:val="heading 4"/>
    <w:basedOn w:val="prastasis"/>
    <w:next w:val="prastasis"/>
    <w:qFormat/>
    <w:rsid w:val="00EC5A65"/>
    <w:pPr>
      <w:keepNext/>
      <w:spacing w:line="360" w:lineRule="auto"/>
      <w:jc w:val="both"/>
      <w:outlineLvl w:val="3"/>
    </w:pPr>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EC5A65"/>
    <w:pPr>
      <w:tabs>
        <w:tab w:val="center" w:pos="4320"/>
        <w:tab w:val="right" w:pos="8640"/>
      </w:tabs>
    </w:pPr>
  </w:style>
  <w:style w:type="paragraph" w:styleId="Porat">
    <w:name w:val="footer"/>
    <w:basedOn w:val="prastasis"/>
    <w:rsid w:val="00EC5A65"/>
    <w:pPr>
      <w:tabs>
        <w:tab w:val="center" w:pos="4320"/>
        <w:tab w:val="right" w:pos="8640"/>
      </w:tabs>
    </w:pPr>
  </w:style>
  <w:style w:type="character" w:styleId="Puslapionumeris">
    <w:name w:val="page number"/>
    <w:basedOn w:val="Numatytasispastraiposriftas"/>
    <w:rsid w:val="00EC5A65"/>
  </w:style>
  <w:style w:type="paragraph" w:styleId="Pagrindinistekstas">
    <w:name w:val="Body Text"/>
    <w:basedOn w:val="prastasis"/>
    <w:link w:val="PagrindinistekstasDiagrama"/>
    <w:rsid w:val="00EC5A65"/>
    <w:rPr>
      <w:rFonts w:ascii="TimesLT" w:hAnsi="TimesLT"/>
      <w:sz w:val="22"/>
    </w:rPr>
  </w:style>
  <w:style w:type="paragraph" w:styleId="Pavadinimas">
    <w:name w:val="Title"/>
    <w:basedOn w:val="prastasis"/>
    <w:qFormat/>
    <w:rsid w:val="00EC5A65"/>
    <w:pPr>
      <w:jc w:val="center"/>
    </w:pPr>
    <w:rPr>
      <w:b/>
      <w:sz w:val="28"/>
    </w:rPr>
  </w:style>
  <w:style w:type="paragraph" w:styleId="Antrinispavadinimas">
    <w:name w:val="Subtitle"/>
    <w:basedOn w:val="prastasis"/>
    <w:qFormat/>
    <w:rsid w:val="00EC5A65"/>
    <w:pPr>
      <w:jc w:val="center"/>
    </w:pPr>
    <w:rPr>
      <w:b/>
      <w:sz w:val="28"/>
    </w:rPr>
  </w:style>
  <w:style w:type="paragraph" w:styleId="Pagrindiniotekstotrauka">
    <w:name w:val="Body Text Indent"/>
    <w:basedOn w:val="prastasis"/>
    <w:rsid w:val="00EC5A65"/>
    <w:pPr>
      <w:spacing w:before="120"/>
      <w:ind w:left="4536"/>
      <w:jc w:val="center"/>
    </w:pPr>
    <w:rPr>
      <w:sz w:val="24"/>
    </w:rPr>
  </w:style>
  <w:style w:type="paragraph" w:styleId="Pagrindinistekstas2">
    <w:name w:val="Body Text 2"/>
    <w:basedOn w:val="prastasis"/>
    <w:rsid w:val="00EC5A65"/>
    <w:pPr>
      <w:spacing w:line="360" w:lineRule="auto"/>
      <w:jc w:val="both"/>
    </w:pPr>
    <w:rPr>
      <w:sz w:val="24"/>
    </w:rPr>
  </w:style>
  <w:style w:type="paragraph" w:styleId="Pagrindinistekstas3">
    <w:name w:val="Body Text 3"/>
    <w:basedOn w:val="prastasis"/>
    <w:rsid w:val="00EC5A65"/>
    <w:pPr>
      <w:jc w:val="both"/>
    </w:pPr>
    <w:rPr>
      <w:b/>
      <w:sz w:val="24"/>
    </w:rPr>
  </w:style>
  <w:style w:type="paragraph" w:styleId="Debesliotekstas">
    <w:name w:val="Balloon Text"/>
    <w:basedOn w:val="prastasis"/>
    <w:semiHidden/>
    <w:rsid w:val="00EB0F00"/>
    <w:rPr>
      <w:rFonts w:ascii="Tahoma" w:hAnsi="Tahoma" w:cs="Tahoma"/>
      <w:sz w:val="16"/>
      <w:szCs w:val="16"/>
    </w:rPr>
  </w:style>
  <w:style w:type="paragraph" w:styleId="prastasistinklapis">
    <w:name w:val="Normal (Web)"/>
    <w:basedOn w:val="prastasis"/>
    <w:rsid w:val="006E6EC2"/>
    <w:pPr>
      <w:spacing w:before="100" w:beforeAutospacing="1" w:after="100" w:afterAutospacing="1"/>
    </w:pPr>
    <w:rPr>
      <w:sz w:val="24"/>
      <w:szCs w:val="24"/>
      <w:lang w:eastAsia="lt-LT"/>
    </w:rPr>
  </w:style>
  <w:style w:type="character" w:styleId="Grietas">
    <w:name w:val="Strong"/>
    <w:qFormat/>
    <w:rsid w:val="004070F0"/>
    <w:rPr>
      <w:b/>
      <w:bCs/>
    </w:rPr>
  </w:style>
  <w:style w:type="table" w:styleId="Lentelstinklelis">
    <w:name w:val="Table Grid"/>
    <w:basedOn w:val="prastojilentel"/>
    <w:rsid w:val="005547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oblokas">
    <w:name w:val="Block Text"/>
    <w:basedOn w:val="prastasis"/>
    <w:rsid w:val="00763F79"/>
    <w:pPr>
      <w:ind w:left="-540" w:right="-1234" w:firstLine="1080"/>
      <w:jc w:val="both"/>
    </w:pPr>
    <w:rPr>
      <w:sz w:val="24"/>
      <w:szCs w:val="24"/>
    </w:rPr>
  </w:style>
  <w:style w:type="character" w:styleId="Komentaronuoroda">
    <w:name w:val="annotation reference"/>
    <w:semiHidden/>
    <w:rsid w:val="00763F79"/>
    <w:rPr>
      <w:sz w:val="16"/>
    </w:rPr>
  </w:style>
  <w:style w:type="paragraph" w:customStyle="1" w:styleId="DiagramaDiagrama2">
    <w:name w:val="Diagrama Diagrama2"/>
    <w:basedOn w:val="prastasis"/>
    <w:rsid w:val="00763F79"/>
    <w:pPr>
      <w:spacing w:after="160" w:line="240" w:lineRule="exact"/>
    </w:pPr>
    <w:rPr>
      <w:rFonts w:ascii="Tahoma" w:hAnsi="Tahoma"/>
      <w:lang w:val="en-US"/>
    </w:rPr>
  </w:style>
  <w:style w:type="character" w:customStyle="1" w:styleId="PagrindinistekstasDiagrama">
    <w:name w:val="Pagrindinis tekstas Diagrama"/>
    <w:link w:val="Pagrindinistekstas"/>
    <w:rsid w:val="00561697"/>
    <w:rPr>
      <w:rFonts w:ascii="TimesLT" w:hAnsi="TimesLT"/>
      <w:sz w:val="22"/>
      <w:lang w:val="lt-LT" w:eastAsia="en-US" w:bidi="ar-SA"/>
    </w:rPr>
  </w:style>
  <w:style w:type="character" w:customStyle="1" w:styleId="AntratsDiagrama">
    <w:name w:val="Antraštės Diagrama"/>
    <w:link w:val="Antrats"/>
    <w:uiPriority w:val="99"/>
    <w:rsid w:val="00CA45CC"/>
    <w:rPr>
      <w:lang w:eastAsia="en-US"/>
    </w:rPr>
  </w:style>
  <w:style w:type="paragraph" w:styleId="Sraopastraipa">
    <w:name w:val="List Paragraph"/>
    <w:basedOn w:val="prastasis"/>
    <w:uiPriority w:val="34"/>
    <w:qFormat/>
    <w:rsid w:val="00345E57"/>
    <w:pPr>
      <w:ind w:left="720"/>
      <w:contextualSpacing/>
    </w:pPr>
  </w:style>
  <w:style w:type="character" w:styleId="Emfaz">
    <w:name w:val="Emphasis"/>
    <w:basedOn w:val="Numatytasispastraiposriftas"/>
    <w:qFormat/>
    <w:rsid w:val="00491E3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2545">
      <w:bodyDiv w:val="1"/>
      <w:marLeft w:val="0"/>
      <w:marRight w:val="0"/>
      <w:marTop w:val="0"/>
      <w:marBottom w:val="0"/>
      <w:divBdr>
        <w:top w:val="none" w:sz="0" w:space="0" w:color="auto"/>
        <w:left w:val="none" w:sz="0" w:space="0" w:color="auto"/>
        <w:bottom w:val="none" w:sz="0" w:space="0" w:color="auto"/>
        <w:right w:val="none" w:sz="0" w:space="0" w:color="auto"/>
      </w:divBdr>
    </w:div>
    <w:div w:id="30231496">
      <w:bodyDiv w:val="1"/>
      <w:marLeft w:val="0"/>
      <w:marRight w:val="0"/>
      <w:marTop w:val="0"/>
      <w:marBottom w:val="0"/>
      <w:divBdr>
        <w:top w:val="none" w:sz="0" w:space="0" w:color="auto"/>
        <w:left w:val="none" w:sz="0" w:space="0" w:color="auto"/>
        <w:bottom w:val="none" w:sz="0" w:space="0" w:color="auto"/>
        <w:right w:val="none" w:sz="0" w:space="0" w:color="auto"/>
      </w:divBdr>
    </w:div>
    <w:div w:id="64569390">
      <w:bodyDiv w:val="1"/>
      <w:marLeft w:val="0"/>
      <w:marRight w:val="0"/>
      <w:marTop w:val="0"/>
      <w:marBottom w:val="0"/>
      <w:divBdr>
        <w:top w:val="none" w:sz="0" w:space="0" w:color="auto"/>
        <w:left w:val="none" w:sz="0" w:space="0" w:color="auto"/>
        <w:bottom w:val="none" w:sz="0" w:space="0" w:color="auto"/>
        <w:right w:val="none" w:sz="0" w:space="0" w:color="auto"/>
      </w:divBdr>
    </w:div>
    <w:div w:id="106123266">
      <w:bodyDiv w:val="1"/>
      <w:marLeft w:val="0"/>
      <w:marRight w:val="0"/>
      <w:marTop w:val="0"/>
      <w:marBottom w:val="0"/>
      <w:divBdr>
        <w:top w:val="none" w:sz="0" w:space="0" w:color="auto"/>
        <w:left w:val="none" w:sz="0" w:space="0" w:color="auto"/>
        <w:bottom w:val="none" w:sz="0" w:space="0" w:color="auto"/>
        <w:right w:val="none" w:sz="0" w:space="0" w:color="auto"/>
      </w:divBdr>
    </w:div>
    <w:div w:id="120000810">
      <w:bodyDiv w:val="1"/>
      <w:marLeft w:val="0"/>
      <w:marRight w:val="0"/>
      <w:marTop w:val="0"/>
      <w:marBottom w:val="0"/>
      <w:divBdr>
        <w:top w:val="none" w:sz="0" w:space="0" w:color="auto"/>
        <w:left w:val="none" w:sz="0" w:space="0" w:color="auto"/>
        <w:bottom w:val="none" w:sz="0" w:space="0" w:color="auto"/>
        <w:right w:val="none" w:sz="0" w:space="0" w:color="auto"/>
      </w:divBdr>
    </w:div>
    <w:div w:id="123545978">
      <w:bodyDiv w:val="1"/>
      <w:marLeft w:val="0"/>
      <w:marRight w:val="0"/>
      <w:marTop w:val="0"/>
      <w:marBottom w:val="0"/>
      <w:divBdr>
        <w:top w:val="none" w:sz="0" w:space="0" w:color="auto"/>
        <w:left w:val="none" w:sz="0" w:space="0" w:color="auto"/>
        <w:bottom w:val="none" w:sz="0" w:space="0" w:color="auto"/>
        <w:right w:val="none" w:sz="0" w:space="0" w:color="auto"/>
      </w:divBdr>
    </w:div>
    <w:div w:id="140469460">
      <w:bodyDiv w:val="1"/>
      <w:marLeft w:val="0"/>
      <w:marRight w:val="0"/>
      <w:marTop w:val="0"/>
      <w:marBottom w:val="0"/>
      <w:divBdr>
        <w:top w:val="none" w:sz="0" w:space="0" w:color="auto"/>
        <w:left w:val="none" w:sz="0" w:space="0" w:color="auto"/>
        <w:bottom w:val="none" w:sz="0" w:space="0" w:color="auto"/>
        <w:right w:val="none" w:sz="0" w:space="0" w:color="auto"/>
      </w:divBdr>
    </w:div>
    <w:div w:id="162204843">
      <w:bodyDiv w:val="1"/>
      <w:marLeft w:val="0"/>
      <w:marRight w:val="0"/>
      <w:marTop w:val="0"/>
      <w:marBottom w:val="0"/>
      <w:divBdr>
        <w:top w:val="none" w:sz="0" w:space="0" w:color="auto"/>
        <w:left w:val="none" w:sz="0" w:space="0" w:color="auto"/>
        <w:bottom w:val="none" w:sz="0" w:space="0" w:color="auto"/>
        <w:right w:val="none" w:sz="0" w:space="0" w:color="auto"/>
      </w:divBdr>
    </w:div>
    <w:div w:id="191234259">
      <w:bodyDiv w:val="1"/>
      <w:marLeft w:val="0"/>
      <w:marRight w:val="0"/>
      <w:marTop w:val="0"/>
      <w:marBottom w:val="0"/>
      <w:divBdr>
        <w:top w:val="none" w:sz="0" w:space="0" w:color="auto"/>
        <w:left w:val="none" w:sz="0" w:space="0" w:color="auto"/>
        <w:bottom w:val="none" w:sz="0" w:space="0" w:color="auto"/>
        <w:right w:val="none" w:sz="0" w:space="0" w:color="auto"/>
      </w:divBdr>
    </w:div>
    <w:div w:id="209920199">
      <w:bodyDiv w:val="1"/>
      <w:marLeft w:val="0"/>
      <w:marRight w:val="0"/>
      <w:marTop w:val="0"/>
      <w:marBottom w:val="0"/>
      <w:divBdr>
        <w:top w:val="none" w:sz="0" w:space="0" w:color="auto"/>
        <w:left w:val="none" w:sz="0" w:space="0" w:color="auto"/>
        <w:bottom w:val="none" w:sz="0" w:space="0" w:color="auto"/>
        <w:right w:val="none" w:sz="0" w:space="0" w:color="auto"/>
      </w:divBdr>
    </w:div>
    <w:div w:id="237641169">
      <w:bodyDiv w:val="1"/>
      <w:marLeft w:val="0"/>
      <w:marRight w:val="0"/>
      <w:marTop w:val="0"/>
      <w:marBottom w:val="0"/>
      <w:divBdr>
        <w:top w:val="none" w:sz="0" w:space="0" w:color="auto"/>
        <w:left w:val="none" w:sz="0" w:space="0" w:color="auto"/>
        <w:bottom w:val="none" w:sz="0" w:space="0" w:color="auto"/>
        <w:right w:val="none" w:sz="0" w:space="0" w:color="auto"/>
      </w:divBdr>
    </w:div>
    <w:div w:id="295112397">
      <w:bodyDiv w:val="1"/>
      <w:marLeft w:val="0"/>
      <w:marRight w:val="0"/>
      <w:marTop w:val="0"/>
      <w:marBottom w:val="0"/>
      <w:divBdr>
        <w:top w:val="none" w:sz="0" w:space="0" w:color="auto"/>
        <w:left w:val="none" w:sz="0" w:space="0" w:color="auto"/>
        <w:bottom w:val="none" w:sz="0" w:space="0" w:color="auto"/>
        <w:right w:val="none" w:sz="0" w:space="0" w:color="auto"/>
      </w:divBdr>
    </w:div>
    <w:div w:id="300891699">
      <w:bodyDiv w:val="1"/>
      <w:marLeft w:val="0"/>
      <w:marRight w:val="0"/>
      <w:marTop w:val="0"/>
      <w:marBottom w:val="0"/>
      <w:divBdr>
        <w:top w:val="none" w:sz="0" w:space="0" w:color="auto"/>
        <w:left w:val="none" w:sz="0" w:space="0" w:color="auto"/>
        <w:bottom w:val="none" w:sz="0" w:space="0" w:color="auto"/>
        <w:right w:val="none" w:sz="0" w:space="0" w:color="auto"/>
      </w:divBdr>
    </w:div>
    <w:div w:id="323357447">
      <w:bodyDiv w:val="1"/>
      <w:marLeft w:val="0"/>
      <w:marRight w:val="0"/>
      <w:marTop w:val="0"/>
      <w:marBottom w:val="0"/>
      <w:divBdr>
        <w:top w:val="none" w:sz="0" w:space="0" w:color="auto"/>
        <w:left w:val="none" w:sz="0" w:space="0" w:color="auto"/>
        <w:bottom w:val="none" w:sz="0" w:space="0" w:color="auto"/>
        <w:right w:val="none" w:sz="0" w:space="0" w:color="auto"/>
      </w:divBdr>
      <w:divsChild>
        <w:div w:id="1637493920">
          <w:marLeft w:val="0"/>
          <w:marRight w:val="0"/>
          <w:marTop w:val="0"/>
          <w:marBottom w:val="0"/>
          <w:divBdr>
            <w:top w:val="none" w:sz="0" w:space="0" w:color="auto"/>
            <w:left w:val="none" w:sz="0" w:space="0" w:color="auto"/>
            <w:bottom w:val="none" w:sz="0" w:space="0" w:color="auto"/>
            <w:right w:val="none" w:sz="0" w:space="0" w:color="auto"/>
          </w:divBdr>
          <w:divsChild>
            <w:div w:id="1849058947">
              <w:marLeft w:val="0"/>
              <w:marRight w:val="0"/>
              <w:marTop w:val="0"/>
              <w:marBottom w:val="0"/>
              <w:divBdr>
                <w:top w:val="none" w:sz="0" w:space="0" w:color="auto"/>
                <w:left w:val="none" w:sz="0" w:space="0" w:color="auto"/>
                <w:bottom w:val="none" w:sz="0" w:space="0" w:color="auto"/>
                <w:right w:val="none" w:sz="0" w:space="0" w:color="auto"/>
              </w:divBdr>
              <w:divsChild>
                <w:div w:id="11078663">
                  <w:marLeft w:val="0"/>
                  <w:marRight w:val="0"/>
                  <w:marTop w:val="0"/>
                  <w:marBottom w:val="0"/>
                  <w:divBdr>
                    <w:top w:val="none" w:sz="0" w:space="0" w:color="auto"/>
                    <w:left w:val="none" w:sz="0" w:space="0" w:color="auto"/>
                    <w:bottom w:val="none" w:sz="0" w:space="0" w:color="auto"/>
                    <w:right w:val="none" w:sz="0" w:space="0" w:color="auto"/>
                  </w:divBdr>
                  <w:divsChild>
                    <w:div w:id="1634868119">
                      <w:marLeft w:val="0"/>
                      <w:marRight w:val="0"/>
                      <w:marTop w:val="0"/>
                      <w:marBottom w:val="0"/>
                      <w:divBdr>
                        <w:top w:val="none" w:sz="0" w:space="0" w:color="auto"/>
                        <w:left w:val="none" w:sz="0" w:space="0" w:color="auto"/>
                        <w:bottom w:val="none" w:sz="0" w:space="0" w:color="auto"/>
                        <w:right w:val="none" w:sz="0" w:space="0" w:color="auto"/>
                      </w:divBdr>
                      <w:divsChild>
                        <w:div w:id="488592612">
                          <w:marLeft w:val="0"/>
                          <w:marRight w:val="0"/>
                          <w:marTop w:val="0"/>
                          <w:marBottom w:val="0"/>
                          <w:divBdr>
                            <w:top w:val="none" w:sz="0" w:space="0" w:color="auto"/>
                            <w:left w:val="none" w:sz="0" w:space="0" w:color="auto"/>
                            <w:bottom w:val="none" w:sz="0" w:space="0" w:color="auto"/>
                            <w:right w:val="none" w:sz="0" w:space="0" w:color="auto"/>
                          </w:divBdr>
                          <w:divsChild>
                            <w:div w:id="605620262">
                              <w:marLeft w:val="0"/>
                              <w:marRight w:val="0"/>
                              <w:marTop w:val="240"/>
                              <w:marBottom w:val="0"/>
                              <w:divBdr>
                                <w:top w:val="none" w:sz="0" w:space="0" w:color="auto"/>
                                <w:left w:val="none" w:sz="0" w:space="0" w:color="auto"/>
                                <w:bottom w:val="none" w:sz="0" w:space="0" w:color="auto"/>
                                <w:right w:val="none" w:sz="0" w:space="0" w:color="auto"/>
                              </w:divBdr>
                              <w:divsChild>
                                <w:div w:id="1225137448">
                                  <w:marLeft w:val="0"/>
                                  <w:marRight w:val="0"/>
                                  <w:marTop w:val="0"/>
                                  <w:marBottom w:val="0"/>
                                  <w:divBdr>
                                    <w:top w:val="none" w:sz="0" w:space="0" w:color="auto"/>
                                    <w:left w:val="none" w:sz="0" w:space="0" w:color="auto"/>
                                    <w:bottom w:val="none" w:sz="0" w:space="0" w:color="auto"/>
                                    <w:right w:val="none" w:sz="0" w:space="0" w:color="auto"/>
                                  </w:divBdr>
                                  <w:divsChild>
                                    <w:div w:id="1790198974">
                                      <w:marLeft w:val="0"/>
                                      <w:marRight w:val="0"/>
                                      <w:marTop w:val="0"/>
                                      <w:marBottom w:val="0"/>
                                      <w:divBdr>
                                        <w:top w:val="none" w:sz="0" w:space="0" w:color="auto"/>
                                        <w:left w:val="none" w:sz="0" w:space="0" w:color="auto"/>
                                        <w:bottom w:val="none" w:sz="0" w:space="0" w:color="auto"/>
                                        <w:right w:val="none" w:sz="0" w:space="0" w:color="auto"/>
                                      </w:divBdr>
                                      <w:divsChild>
                                        <w:div w:id="633215788">
                                          <w:marLeft w:val="0"/>
                                          <w:marRight w:val="0"/>
                                          <w:marTop w:val="0"/>
                                          <w:marBottom w:val="0"/>
                                          <w:divBdr>
                                            <w:top w:val="none" w:sz="0" w:space="0" w:color="auto"/>
                                            <w:left w:val="none" w:sz="0" w:space="0" w:color="auto"/>
                                            <w:bottom w:val="none" w:sz="0" w:space="0" w:color="auto"/>
                                            <w:right w:val="none" w:sz="0" w:space="0" w:color="auto"/>
                                          </w:divBdr>
                                          <w:divsChild>
                                            <w:div w:id="1507940149">
                                              <w:marLeft w:val="0"/>
                                              <w:marRight w:val="0"/>
                                              <w:marTop w:val="0"/>
                                              <w:marBottom w:val="0"/>
                                              <w:divBdr>
                                                <w:top w:val="none" w:sz="0" w:space="0" w:color="auto"/>
                                                <w:left w:val="none" w:sz="0" w:space="0" w:color="auto"/>
                                                <w:bottom w:val="none" w:sz="0" w:space="0" w:color="auto"/>
                                                <w:right w:val="none" w:sz="0" w:space="0" w:color="auto"/>
                                              </w:divBdr>
                                              <w:divsChild>
                                                <w:div w:id="1301307965">
                                                  <w:marLeft w:val="0"/>
                                                  <w:marRight w:val="0"/>
                                                  <w:marTop w:val="0"/>
                                                  <w:marBottom w:val="0"/>
                                                  <w:divBdr>
                                                    <w:top w:val="none" w:sz="0" w:space="0" w:color="auto"/>
                                                    <w:left w:val="none" w:sz="0" w:space="0" w:color="auto"/>
                                                    <w:bottom w:val="none" w:sz="0" w:space="0" w:color="auto"/>
                                                    <w:right w:val="none" w:sz="0" w:space="0" w:color="auto"/>
                                                  </w:divBdr>
                                                  <w:divsChild>
                                                    <w:div w:id="1229271672">
                                                      <w:marLeft w:val="0"/>
                                                      <w:marRight w:val="0"/>
                                                      <w:marTop w:val="0"/>
                                                      <w:marBottom w:val="0"/>
                                                      <w:divBdr>
                                                        <w:top w:val="none" w:sz="0" w:space="0" w:color="auto"/>
                                                        <w:left w:val="none" w:sz="0" w:space="0" w:color="auto"/>
                                                        <w:bottom w:val="none" w:sz="0" w:space="0" w:color="auto"/>
                                                        <w:right w:val="none" w:sz="0" w:space="0" w:color="auto"/>
                                                      </w:divBdr>
                                                      <w:divsChild>
                                                        <w:div w:id="25155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28097060">
      <w:bodyDiv w:val="1"/>
      <w:marLeft w:val="0"/>
      <w:marRight w:val="0"/>
      <w:marTop w:val="0"/>
      <w:marBottom w:val="0"/>
      <w:divBdr>
        <w:top w:val="none" w:sz="0" w:space="0" w:color="auto"/>
        <w:left w:val="none" w:sz="0" w:space="0" w:color="auto"/>
        <w:bottom w:val="none" w:sz="0" w:space="0" w:color="auto"/>
        <w:right w:val="none" w:sz="0" w:space="0" w:color="auto"/>
      </w:divBdr>
    </w:div>
    <w:div w:id="383911782">
      <w:bodyDiv w:val="1"/>
      <w:marLeft w:val="0"/>
      <w:marRight w:val="0"/>
      <w:marTop w:val="0"/>
      <w:marBottom w:val="0"/>
      <w:divBdr>
        <w:top w:val="none" w:sz="0" w:space="0" w:color="auto"/>
        <w:left w:val="none" w:sz="0" w:space="0" w:color="auto"/>
        <w:bottom w:val="none" w:sz="0" w:space="0" w:color="auto"/>
        <w:right w:val="none" w:sz="0" w:space="0" w:color="auto"/>
      </w:divBdr>
    </w:div>
    <w:div w:id="395207524">
      <w:bodyDiv w:val="1"/>
      <w:marLeft w:val="0"/>
      <w:marRight w:val="0"/>
      <w:marTop w:val="0"/>
      <w:marBottom w:val="0"/>
      <w:divBdr>
        <w:top w:val="none" w:sz="0" w:space="0" w:color="auto"/>
        <w:left w:val="none" w:sz="0" w:space="0" w:color="auto"/>
        <w:bottom w:val="none" w:sz="0" w:space="0" w:color="auto"/>
        <w:right w:val="none" w:sz="0" w:space="0" w:color="auto"/>
      </w:divBdr>
    </w:div>
    <w:div w:id="413817963">
      <w:bodyDiv w:val="1"/>
      <w:marLeft w:val="0"/>
      <w:marRight w:val="0"/>
      <w:marTop w:val="0"/>
      <w:marBottom w:val="0"/>
      <w:divBdr>
        <w:top w:val="none" w:sz="0" w:space="0" w:color="auto"/>
        <w:left w:val="none" w:sz="0" w:space="0" w:color="auto"/>
        <w:bottom w:val="none" w:sz="0" w:space="0" w:color="auto"/>
        <w:right w:val="none" w:sz="0" w:space="0" w:color="auto"/>
      </w:divBdr>
    </w:div>
    <w:div w:id="435059798">
      <w:bodyDiv w:val="1"/>
      <w:marLeft w:val="0"/>
      <w:marRight w:val="0"/>
      <w:marTop w:val="0"/>
      <w:marBottom w:val="0"/>
      <w:divBdr>
        <w:top w:val="none" w:sz="0" w:space="0" w:color="auto"/>
        <w:left w:val="none" w:sz="0" w:space="0" w:color="auto"/>
        <w:bottom w:val="none" w:sz="0" w:space="0" w:color="auto"/>
        <w:right w:val="none" w:sz="0" w:space="0" w:color="auto"/>
      </w:divBdr>
    </w:div>
    <w:div w:id="438180027">
      <w:bodyDiv w:val="1"/>
      <w:marLeft w:val="0"/>
      <w:marRight w:val="0"/>
      <w:marTop w:val="0"/>
      <w:marBottom w:val="0"/>
      <w:divBdr>
        <w:top w:val="none" w:sz="0" w:space="0" w:color="auto"/>
        <w:left w:val="none" w:sz="0" w:space="0" w:color="auto"/>
        <w:bottom w:val="none" w:sz="0" w:space="0" w:color="auto"/>
        <w:right w:val="none" w:sz="0" w:space="0" w:color="auto"/>
      </w:divBdr>
    </w:div>
    <w:div w:id="471138602">
      <w:bodyDiv w:val="1"/>
      <w:marLeft w:val="0"/>
      <w:marRight w:val="0"/>
      <w:marTop w:val="0"/>
      <w:marBottom w:val="0"/>
      <w:divBdr>
        <w:top w:val="none" w:sz="0" w:space="0" w:color="auto"/>
        <w:left w:val="none" w:sz="0" w:space="0" w:color="auto"/>
        <w:bottom w:val="none" w:sz="0" w:space="0" w:color="auto"/>
        <w:right w:val="none" w:sz="0" w:space="0" w:color="auto"/>
      </w:divBdr>
    </w:div>
    <w:div w:id="484013673">
      <w:bodyDiv w:val="1"/>
      <w:marLeft w:val="0"/>
      <w:marRight w:val="0"/>
      <w:marTop w:val="0"/>
      <w:marBottom w:val="0"/>
      <w:divBdr>
        <w:top w:val="none" w:sz="0" w:space="0" w:color="auto"/>
        <w:left w:val="none" w:sz="0" w:space="0" w:color="auto"/>
        <w:bottom w:val="none" w:sz="0" w:space="0" w:color="auto"/>
        <w:right w:val="none" w:sz="0" w:space="0" w:color="auto"/>
      </w:divBdr>
    </w:div>
    <w:div w:id="508064199">
      <w:bodyDiv w:val="1"/>
      <w:marLeft w:val="0"/>
      <w:marRight w:val="0"/>
      <w:marTop w:val="0"/>
      <w:marBottom w:val="0"/>
      <w:divBdr>
        <w:top w:val="none" w:sz="0" w:space="0" w:color="auto"/>
        <w:left w:val="none" w:sz="0" w:space="0" w:color="auto"/>
        <w:bottom w:val="none" w:sz="0" w:space="0" w:color="auto"/>
        <w:right w:val="none" w:sz="0" w:space="0" w:color="auto"/>
      </w:divBdr>
    </w:div>
    <w:div w:id="593704217">
      <w:bodyDiv w:val="1"/>
      <w:marLeft w:val="0"/>
      <w:marRight w:val="0"/>
      <w:marTop w:val="0"/>
      <w:marBottom w:val="0"/>
      <w:divBdr>
        <w:top w:val="none" w:sz="0" w:space="0" w:color="auto"/>
        <w:left w:val="none" w:sz="0" w:space="0" w:color="auto"/>
        <w:bottom w:val="none" w:sz="0" w:space="0" w:color="auto"/>
        <w:right w:val="none" w:sz="0" w:space="0" w:color="auto"/>
      </w:divBdr>
    </w:div>
    <w:div w:id="678430936">
      <w:bodyDiv w:val="1"/>
      <w:marLeft w:val="0"/>
      <w:marRight w:val="0"/>
      <w:marTop w:val="0"/>
      <w:marBottom w:val="0"/>
      <w:divBdr>
        <w:top w:val="none" w:sz="0" w:space="0" w:color="auto"/>
        <w:left w:val="none" w:sz="0" w:space="0" w:color="auto"/>
        <w:bottom w:val="none" w:sz="0" w:space="0" w:color="auto"/>
        <w:right w:val="none" w:sz="0" w:space="0" w:color="auto"/>
      </w:divBdr>
    </w:div>
    <w:div w:id="681586660">
      <w:bodyDiv w:val="1"/>
      <w:marLeft w:val="0"/>
      <w:marRight w:val="0"/>
      <w:marTop w:val="0"/>
      <w:marBottom w:val="0"/>
      <w:divBdr>
        <w:top w:val="none" w:sz="0" w:space="0" w:color="auto"/>
        <w:left w:val="none" w:sz="0" w:space="0" w:color="auto"/>
        <w:bottom w:val="none" w:sz="0" w:space="0" w:color="auto"/>
        <w:right w:val="none" w:sz="0" w:space="0" w:color="auto"/>
      </w:divBdr>
    </w:div>
    <w:div w:id="720054546">
      <w:bodyDiv w:val="1"/>
      <w:marLeft w:val="0"/>
      <w:marRight w:val="0"/>
      <w:marTop w:val="0"/>
      <w:marBottom w:val="0"/>
      <w:divBdr>
        <w:top w:val="none" w:sz="0" w:space="0" w:color="auto"/>
        <w:left w:val="none" w:sz="0" w:space="0" w:color="auto"/>
        <w:bottom w:val="none" w:sz="0" w:space="0" w:color="auto"/>
        <w:right w:val="none" w:sz="0" w:space="0" w:color="auto"/>
      </w:divBdr>
    </w:div>
    <w:div w:id="790439215">
      <w:bodyDiv w:val="1"/>
      <w:marLeft w:val="0"/>
      <w:marRight w:val="0"/>
      <w:marTop w:val="0"/>
      <w:marBottom w:val="0"/>
      <w:divBdr>
        <w:top w:val="none" w:sz="0" w:space="0" w:color="auto"/>
        <w:left w:val="none" w:sz="0" w:space="0" w:color="auto"/>
        <w:bottom w:val="none" w:sz="0" w:space="0" w:color="auto"/>
        <w:right w:val="none" w:sz="0" w:space="0" w:color="auto"/>
      </w:divBdr>
    </w:div>
    <w:div w:id="795299483">
      <w:bodyDiv w:val="1"/>
      <w:marLeft w:val="0"/>
      <w:marRight w:val="0"/>
      <w:marTop w:val="0"/>
      <w:marBottom w:val="0"/>
      <w:divBdr>
        <w:top w:val="none" w:sz="0" w:space="0" w:color="auto"/>
        <w:left w:val="none" w:sz="0" w:space="0" w:color="auto"/>
        <w:bottom w:val="none" w:sz="0" w:space="0" w:color="auto"/>
        <w:right w:val="none" w:sz="0" w:space="0" w:color="auto"/>
      </w:divBdr>
    </w:div>
    <w:div w:id="859392260">
      <w:bodyDiv w:val="1"/>
      <w:marLeft w:val="0"/>
      <w:marRight w:val="0"/>
      <w:marTop w:val="0"/>
      <w:marBottom w:val="0"/>
      <w:divBdr>
        <w:top w:val="none" w:sz="0" w:space="0" w:color="auto"/>
        <w:left w:val="none" w:sz="0" w:space="0" w:color="auto"/>
        <w:bottom w:val="none" w:sz="0" w:space="0" w:color="auto"/>
        <w:right w:val="none" w:sz="0" w:space="0" w:color="auto"/>
      </w:divBdr>
    </w:div>
    <w:div w:id="862399903">
      <w:bodyDiv w:val="1"/>
      <w:marLeft w:val="0"/>
      <w:marRight w:val="0"/>
      <w:marTop w:val="0"/>
      <w:marBottom w:val="0"/>
      <w:divBdr>
        <w:top w:val="none" w:sz="0" w:space="0" w:color="auto"/>
        <w:left w:val="none" w:sz="0" w:space="0" w:color="auto"/>
        <w:bottom w:val="none" w:sz="0" w:space="0" w:color="auto"/>
        <w:right w:val="none" w:sz="0" w:space="0" w:color="auto"/>
      </w:divBdr>
    </w:div>
    <w:div w:id="865605225">
      <w:bodyDiv w:val="1"/>
      <w:marLeft w:val="0"/>
      <w:marRight w:val="0"/>
      <w:marTop w:val="0"/>
      <w:marBottom w:val="0"/>
      <w:divBdr>
        <w:top w:val="none" w:sz="0" w:space="0" w:color="auto"/>
        <w:left w:val="none" w:sz="0" w:space="0" w:color="auto"/>
        <w:bottom w:val="none" w:sz="0" w:space="0" w:color="auto"/>
        <w:right w:val="none" w:sz="0" w:space="0" w:color="auto"/>
      </w:divBdr>
    </w:div>
    <w:div w:id="883058154">
      <w:bodyDiv w:val="1"/>
      <w:marLeft w:val="0"/>
      <w:marRight w:val="0"/>
      <w:marTop w:val="0"/>
      <w:marBottom w:val="0"/>
      <w:divBdr>
        <w:top w:val="none" w:sz="0" w:space="0" w:color="auto"/>
        <w:left w:val="none" w:sz="0" w:space="0" w:color="auto"/>
        <w:bottom w:val="none" w:sz="0" w:space="0" w:color="auto"/>
        <w:right w:val="none" w:sz="0" w:space="0" w:color="auto"/>
      </w:divBdr>
    </w:div>
    <w:div w:id="906694242">
      <w:bodyDiv w:val="1"/>
      <w:marLeft w:val="0"/>
      <w:marRight w:val="0"/>
      <w:marTop w:val="0"/>
      <w:marBottom w:val="0"/>
      <w:divBdr>
        <w:top w:val="none" w:sz="0" w:space="0" w:color="auto"/>
        <w:left w:val="none" w:sz="0" w:space="0" w:color="auto"/>
        <w:bottom w:val="none" w:sz="0" w:space="0" w:color="auto"/>
        <w:right w:val="none" w:sz="0" w:space="0" w:color="auto"/>
      </w:divBdr>
    </w:div>
    <w:div w:id="947808807">
      <w:bodyDiv w:val="1"/>
      <w:marLeft w:val="0"/>
      <w:marRight w:val="0"/>
      <w:marTop w:val="0"/>
      <w:marBottom w:val="0"/>
      <w:divBdr>
        <w:top w:val="none" w:sz="0" w:space="0" w:color="auto"/>
        <w:left w:val="none" w:sz="0" w:space="0" w:color="auto"/>
        <w:bottom w:val="none" w:sz="0" w:space="0" w:color="auto"/>
        <w:right w:val="none" w:sz="0" w:space="0" w:color="auto"/>
      </w:divBdr>
    </w:div>
    <w:div w:id="971517153">
      <w:bodyDiv w:val="1"/>
      <w:marLeft w:val="0"/>
      <w:marRight w:val="0"/>
      <w:marTop w:val="0"/>
      <w:marBottom w:val="0"/>
      <w:divBdr>
        <w:top w:val="none" w:sz="0" w:space="0" w:color="auto"/>
        <w:left w:val="none" w:sz="0" w:space="0" w:color="auto"/>
        <w:bottom w:val="none" w:sz="0" w:space="0" w:color="auto"/>
        <w:right w:val="none" w:sz="0" w:space="0" w:color="auto"/>
      </w:divBdr>
      <w:divsChild>
        <w:div w:id="1199852327">
          <w:marLeft w:val="0"/>
          <w:marRight w:val="0"/>
          <w:marTop w:val="0"/>
          <w:marBottom w:val="0"/>
          <w:divBdr>
            <w:top w:val="none" w:sz="0" w:space="0" w:color="auto"/>
            <w:left w:val="none" w:sz="0" w:space="0" w:color="auto"/>
            <w:bottom w:val="none" w:sz="0" w:space="0" w:color="auto"/>
            <w:right w:val="none" w:sz="0" w:space="0" w:color="auto"/>
          </w:divBdr>
          <w:divsChild>
            <w:div w:id="1860740">
              <w:marLeft w:val="0"/>
              <w:marRight w:val="450"/>
              <w:marTop w:val="0"/>
              <w:marBottom w:val="0"/>
              <w:divBdr>
                <w:top w:val="none" w:sz="0" w:space="0" w:color="auto"/>
                <w:left w:val="none" w:sz="0" w:space="0" w:color="auto"/>
                <w:bottom w:val="none" w:sz="0" w:space="0" w:color="auto"/>
                <w:right w:val="none" w:sz="0" w:space="0" w:color="auto"/>
              </w:divBdr>
              <w:divsChild>
                <w:div w:id="118913790">
                  <w:marLeft w:val="0"/>
                  <w:marRight w:val="0"/>
                  <w:marTop w:val="0"/>
                  <w:marBottom w:val="0"/>
                  <w:divBdr>
                    <w:top w:val="none" w:sz="0" w:space="0" w:color="auto"/>
                    <w:left w:val="none" w:sz="0" w:space="0" w:color="auto"/>
                    <w:bottom w:val="none" w:sz="0" w:space="0" w:color="auto"/>
                    <w:right w:val="none" w:sz="0" w:space="0" w:color="auto"/>
                  </w:divBdr>
                  <w:divsChild>
                    <w:div w:id="196831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1637164">
      <w:bodyDiv w:val="1"/>
      <w:marLeft w:val="0"/>
      <w:marRight w:val="0"/>
      <w:marTop w:val="0"/>
      <w:marBottom w:val="0"/>
      <w:divBdr>
        <w:top w:val="none" w:sz="0" w:space="0" w:color="auto"/>
        <w:left w:val="none" w:sz="0" w:space="0" w:color="auto"/>
        <w:bottom w:val="none" w:sz="0" w:space="0" w:color="auto"/>
        <w:right w:val="none" w:sz="0" w:space="0" w:color="auto"/>
      </w:divBdr>
    </w:div>
    <w:div w:id="991442409">
      <w:bodyDiv w:val="1"/>
      <w:marLeft w:val="0"/>
      <w:marRight w:val="0"/>
      <w:marTop w:val="0"/>
      <w:marBottom w:val="0"/>
      <w:divBdr>
        <w:top w:val="none" w:sz="0" w:space="0" w:color="auto"/>
        <w:left w:val="none" w:sz="0" w:space="0" w:color="auto"/>
        <w:bottom w:val="none" w:sz="0" w:space="0" w:color="auto"/>
        <w:right w:val="none" w:sz="0" w:space="0" w:color="auto"/>
      </w:divBdr>
    </w:div>
    <w:div w:id="1000738093">
      <w:bodyDiv w:val="1"/>
      <w:marLeft w:val="0"/>
      <w:marRight w:val="0"/>
      <w:marTop w:val="0"/>
      <w:marBottom w:val="0"/>
      <w:divBdr>
        <w:top w:val="none" w:sz="0" w:space="0" w:color="auto"/>
        <w:left w:val="none" w:sz="0" w:space="0" w:color="auto"/>
        <w:bottom w:val="none" w:sz="0" w:space="0" w:color="auto"/>
        <w:right w:val="none" w:sz="0" w:space="0" w:color="auto"/>
      </w:divBdr>
    </w:div>
    <w:div w:id="1082871819">
      <w:bodyDiv w:val="1"/>
      <w:marLeft w:val="0"/>
      <w:marRight w:val="0"/>
      <w:marTop w:val="0"/>
      <w:marBottom w:val="0"/>
      <w:divBdr>
        <w:top w:val="none" w:sz="0" w:space="0" w:color="auto"/>
        <w:left w:val="none" w:sz="0" w:space="0" w:color="auto"/>
        <w:bottom w:val="none" w:sz="0" w:space="0" w:color="auto"/>
        <w:right w:val="none" w:sz="0" w:space="0" w:color="auto"/>
      </w:divBdr>
    </w:div>
    <w:div w:id="1108738113">
      <w:bodyDiv w:val="1"/>
      <w:marLeft w:val="0"/>
      <w:marRight w:val="0"/>
      <w:marTop w:val="0"/>
      <w:marBottom w:val="0"/>
      <w:divBdr>
        <w:top w:val="none" w:sz="0" w:space="0" w:color="auto"/>
        <w:left w:val="none" w:sz="0" w:space="0" w:color="auto"/>
        <w:bottom w:val="none" w:sz="0" w:space="0" w:color="auto"/>
        <w:right w:val="none" w:sz="0" w:space="0" w:color="auto"/>
      </w:divBdr>
    </w:div>
    <w:div w:id="1135443356">
      <w:bodyDiv w:val="1"/>
      <w:marLeft w:val="0"/>
      <w:marRight w:val="0"/>
      <w:marTop w:val="0"/>
      <w:marBottom w:val="0"/>
      <w:divBdr>
        <w:top w:val="none" w:sz="0" w:space="0" w:color="auto"/>
        <w:left w:val="none" w:sz="0" w:space="0" w:color="auto"/>
        <w:bottom w:val="none" w:sz="0" w:space="0" w:color="auto"/>
        <w:right w:val="none" w:sz="0" w:space="0" w:color="auto"/>
      </w:divBdr>
    </w:div>
    <w:div w:id="1161002653">
      <w:bodyDiv w:val="1"/>
      <w:marLeft w:val="0"/>
      <w:marRight w:val="0"/>
      <w:marTop w:val="0"/>
      <w:marBottom w:val="0"/>
      <w:divBdr>
        <w:top w:val="none" w:sz="0" w:space="0" w:color="auto"/>
        <w:left w:val="none" w:sz="0" w:space="0" w:color="auto"/>
        <w:bottom w:val="none" w:sz="0" w:space="0" w:color="auto"/>
        <w:right w:val="none" w:sz="0" w:space="0" w:color="auto"/>
      </w:divBdr>
    </w:div>
    <w:div w:id="1176841269">
      <w:bodyDiv w:val="1"/>
      <w:marLeft w:val="0"/>
      <w:marRight w:val="0"/>
      <w:marTop w:val="0"/>
      <w:marBottom w:val="0"/>
      <w:divBdr>
        <w:top w:val="none" w:sz="0" w:space="0" w:color="auto"/>
        <w:left w:val="none" w:sz="0" w:space="0" w:color="auto"/>
        <w:bottom w:val="none" w:sz="0" w:space="0" w:color="auto"/>
        <w:right w:val="none" w:sz="0" w:space="0" w:color="auto"/>
      </w:divBdr>
    </w:div>
    <w:div w:id="1208494859">
      <w:bodyDiv w:val="1"/>
      <w:marLeft w:val="0"/>
      <w:marRight w:val="0"/>
      <w:marTop w:val="0"/>
      <w:marBottom w:val="0"/>
      <w:divBdr>
        <w:top w:val="none" w:sz="0" w:space="0" w:color="auto"/>
        <w:left w:val="none" w:sz="0" w:space="0" w:color="auto"/>
        <w:bottom w:val="none" w:sz="0" w:space="0" w:color="auto"/>
        <w:right w:val="none" w:sz="0" w:space="0" w:color="auto"/>
      </w:divBdr>
    </w:div>
    <w:div w:id="1239175391">
      <w:bodyDiv w:val="1"/>
      <w:marLeft w:val="0"/>
      <w:marRight w:val="0"/>
      <w:marTop w:val="0"/>
      <w:marBottom w:val="0"/>
      <w:divBdr>
        <w:top w:val="none" w:sz="0" w:space="0" w:color="auto"/>
        <w:left w:val="none" w:sz="0" w:space="0" w:color="auto"/>
        <w:bottom w:val="none" w:sz="0" w:space="0" w:color="auto"/>
        <w:right w:val="none" w:sz="0" w:space="0" w:color="auto"/>
      </w:divBdr>
    </w:div>
    <w:div w:id="1251112831">
      <w:bodyDiv w:val="1"/>
      <w:marLeft w:val="0"/>
      <w:marRight w:val="0"/>
      <w:marTop w:val="0"/>
      <w:marBottom w:val="0"/>
      <w:divBdr>
        <w:top w:val="none" w:sz="0" w:space="0" w:color="auto"/>
        <w:left w:val="none" w:sz="0" w:space="0" w:color="auto"/>
        <w:bottom w:val="none" w:sz="0" w:space="0" w:color="auto"/>
        <w:right w:val="none" w:sz="0" w:space="0" w:color="auto"/>
      </w:divBdr>
    </w:div>
    <w:div w:id="1344547182">
      <w:bodyDiv w:val="1"/>
      <w:marLeft w:val="0"/>
      <w:marRight w:val="0"/>
      <w:marTop w:val="0"/>
      <w:marBottom w:val="0"/>
      <w:divBdr>
        <w:top w:val="none" w:sz="0" w:space="0" w:color="auto"/>
        <w:left w:val="none" w:sz="0" w:space="0" w:color="auto"/>
        <w:bottom w:val="none" w:sz="0" w:space="0" w:color="auto"/>
        <w:right w:val="none" w:sz="0" w:space="0" w:color="auto"/>
      </w:divBdr>
    </w:div>
    <w:div w:id="1373766130">
      <w:bodyDiv w:val="1"/>
      <w:marLeft w:val="0"/>
      <w:marRight w:val="0"/>
      <w:marTop w:val="0"/>
      <w:marBottom w:val="0"/>
      <w:divBdr>
        <w:top w:val="none" w:sz="0" w:space="0" w:color="auto"/>
        <w:left w:val="none" w:sz="0" w:space="0" w:color="auto"/>
        <w:bottom w:val="none" w:sz="0" w:space="0" w:color="auto"/>
        <w:right w:val="none" w:sz="0" w:space="0" w:color="auto"/>
      </w:divBdr>
    </w:div>
    <w:div w:id="1403870408">
      <w:bodyDiv w:val="1"/>
      <w:marLeft w:val="0"/>
      <w:marRight w:val="0"/>
      <w:marTop w:val="0"/>
      <w:marBottom w:val="0"/>
      <w:divBdr>
        <w:top w:val="none" w:sz="0" w:space="0" w:color="auto"/>
        <w:left w:val="none" w:sz="0" w:space="0" w:color="auto"/>
        <w:bottom w:val="none" w:sz="0" w:space="0" w:color="auto"/>
        <w:right w:val="none" w:sz="0" w:space="0" w:color="auto"/>
      </w:divBdr>
    </w:div>
    <w:div w:id="1426076187">
      <w:bodyDiv w:val="1"/>
      <w:marLeft w:val="0"/>
      <w:marRight w:val="0"/>
      <w:marTop w:val="0"/>
      <w:marBottom w:val="0"/>
      <w:divBdr>
        <w:top w:val="none" w:sz="0" w:space="0" w:color="auto"/>
        <w:left w:val="none" w:sz="0" w:space="0" w:color="auto"/>
        <w:bottom w:val="none" w:sz="0" w:space="0" w:color="auto"/>
        <w:right w:val="none" w:sz="0" w:space="0" w:color="auto"/>
      </w:divBdr>
      <w:divsChild>
        <w:div w:id="222644134">
          <w:marLeft w:val="0"/>
          <w:marRight w:val="0"/>
          <w:marTop w:val="0"/>
          <w:marBottom w:val="0"/>
          <w:divBdr>
            <w:top w:val="none" w:sz="0" w:space="0" w:color="auto"/>
            <w:left w:val="none" w:sz="0" w:space="0" w:color="auto"/>
            <w:bottom w:val="none" w:sz="0" w:space="0" w:color="auto"/>
            <w:right w:val="none" w:sz="0" w:space="0" w:color="auto"/>
          </w:divBdr>
        </w:div>
      </w:divsChild>
    </w:div>
    <w:div w:id="1452935295">
      <w:bodyDiv w:val="1"/>
      <w:marLeft w:val="0"/>
      <w:marRight w:val="0"/>
      <w:marTop w:val="0"/>
      <w:marBottom w:val="0"/>
      <w:divBdr>
        <w:top w:val="none" w:sz="0" w:space="0" w:color="auto"/>
        <w:left w:val="none" w:sz="0" w:space="0" w:color="auto"/>
        <w:bottom w:val="none" w:sz="0" w:space="0" w:color="auto"/>
        <w:right w:val="none" w:sz="0" w:space="0" w:color="auto"/>
      </w:divBdr>
    </w:div>
    <w:div w:id="1474329064">
      <w:bodyDiv w:val="1"/>
      <w:marLeft w:val="0"/>
      <w:marRight w:val="0"/>
      <w:marTop w:val="0"/>
      <w:marBottom w:val="0"/>
      <w:divBdr>
        <w:top w:val="none" w:sz="0" w:space="0" w:color="auto"/>
        <w:left w:val="none" w:sz="0" w:space="0" w:color="auto"/>
        <w:bottom w:val="none" w:sz="0" w:space="0" w:color="auto"/>
        <w:right w:val="none" w:sz="0" w:space="0" w:color="auto"/>
      </w:divBdr>
    </w:div>
    <w:div w:id="1490291424">
      <w:bodyDiv w:val="1"/>
      <w:marLeft w:val="0"/>
      <w:marRight w:val="0"/>
      <w:marTop w:val="0"/>
      <w:marBottom w:val="0"/>
      <w:divBdr>
        <w:top w:val="none" w:sz="0" w:space="0" w:color="auto"/>
        <w:left w:val="none" w:sz="0" w:space="0" w:color="auto"/>
        <w:bottom w:val="none" w:sz="0" w:space="0" w:color="auto"/>
        <w:right w:val="none" w:sz="0" w:space="0" w:color="auto"/>
      </w:divBdr>
      <w:divsChild>
        <w:div w:id="1676375808">
          <w:marLeft w:val="0"/>
          <w:marRight w:val="0"/>
          <w:marTop w:val="0"/>
          <w:marBottom w:val="0"/>
          <w:divBdr>
            <w:top w:val="none" w:sz="0" w:space="0" w:color="auto"/>
            <w:left w:val="none" w:sz="0" w:space="0" w:color="auto"/>
            <w:bottom w:val="none" w:sz="0" w:space="0" w:color="auto"/>
            <w:right w:val="none" w:sz="0" w:space="0" w:color="auto"/>
          </w:divBdr>
        </w:div>
      </w:divsChild>
    </w:div>
    <w:div w:id="1500609506">
      <w:bodyDiv w:val="1"/>
      <w:marLeft w:val="0"/>
      <w:marRight w:val="0"/>
      <w:marTop w:val="0"/>
      <w:marBottom w:val="0"/>
      <w:divBdr>
        <w:top w:val="none" w:sz="0" w:space="0" w:color="auto"/>
        <w:left w:val="none" w:sz="0" w:space="0" w:color="auto"/>
        <w:bottom w:val="none" w:sz="0" w:space="0" w:color="auto"/>
        <w:right w:val="none" w:sz="0" w:space="0" w:color="auto"/>
      </w:divBdr>
    </w:div>
    <w:div w:id="1508866728">
      <w:bodyDiv w:val="1"/>
      <w:marLeft w:val="0"/>
      <w:marRight w:val="0"/>
      <w:marTop w:val="0"/>
      <w:marBottom w:val="0"/>
      <w:divBdr>
        <w:top w:val="none" w:sz="0" w:space="0" w:color="auto"/>
        <w:left w:val="none" w:sz="0" w:space="0" w:color="auto"/>
        <w:bottom w:val="none" w:sz="0" w:space="0" w:color="auto"/>
        <w:right w:val="none" w:sz="0" w:space="0" w:color="auto"/>
      </w:divBdr>
    </w:div>
    <w:div w:id="1512913774">
      <w:bodyDiv w:val="1"/>
      <w:marLeft w:val="0"/>
      <w:marRight w:val="0"/>
      <w:marTop w:val="0"/>
      <w:marBottom w:val="0"/>
      <w:divBdr>
        <w:top w:val="none" w:sz="0" w:space="0" w:color="auto"/>
        <w:left w:val="none" w:sz="0" w:space="0" w:color="auto"/>
        <w:bottom w:val="none" w:sz="0" w:space="0" w:color="auto"/>
        <w:right w:val="none" w:sz="0" w:space="0" w:color="auto"/>
      </w:divBdr>
    </w:div>
    <w:div w:id="1524057773">
      <w:bodyDiv w:val="1"/>
      <w:marLeft w:val="0"/>
      <w:marRight w:val="0"/>
      <w:marTop w:val="0"/>
      <w:marBottom w:val="0"/>
      <w:divBdr>
        <w:top w:val="none" w:sz="0" w:space="0" w:color="auto"/>
        <w:left w:val="none" w:sz="0" w:space="0" w:color="auto"/>
        <w:bottom w:val="none" w:sz="0" w:space="0" w:color="auto"/>
        <w:right w:val="none" w:sz="0" w:space="0" w:color="auto"/>
      </w:divBdr>
    </w:div>
    <w:div w:id="1609775666">
      <w:bodyDiv w:val="1"/>
      <w:marLeft w:val="0"/>
      <w:marRight w:val="0"/>
      <w:marTop w:val="0"/>
      <w:marBottom w:val="0"/>
      <w:divBdr>
        <w:top w:val="none" w:sz="0" w:space="0" w:color="auto"/>
        <w:left w:val="none" w:sz="0" w:space="0" w:color="auto"/>
        <w:bottom w:val="none" w:sz="0" w:space="0" w:color="auto"/>
        <w:right w:val="none" w:sz="0" w:space="0" w:color="auto"/>
      </w:divBdr>
    </w:div>
    <w:div w:id="1700474448">
      <w:bodyDiv w:val="1"/>
      <w:marLeft w:val="0"/>
      <w:marRight w:val="0"/>
      <w:marTop w:val="0"/>
      <w:marBottom w:val="0"/>
      <w:divBdr>
        <w:top w:val="none" w:sz="0" w:space="0" w:color="auto"/>
        <w:left w:val="none" w:sz="0" w:space="0" w:color="auto"/>
        <w:bottom w:val="none" w:sz="0" w:space="0" w:color="auto"/>
        <w:right w:val="none" w:sz="0" w:space="0" w:color="auto"/>
      </w:divBdr>
    </w:div>
    <w:div w:id="1703902573">
      <w:bodyDiv w:val="1"/>
      <w:marLeft w:val="0"/>
      <w:marRight w:val="0"/>
      <w:marTop w:val="0"/>
      <w:marBottom w:val="0"/>
      <w:divBdr>
        <w:top w:val="none" w:sz="0" w:space="0" w:color="auto"/>
        <w:left w:val="none" w:sz="0" w:space="0" w:color="auto"/>
        <w:bottom w:val="none" w:sz="0" w:space="0" w:color="auto"/>
        <w:right w:val="none" w:sz="0" w:space="0" w:color="auto"/>
      </w:divBdr>
    </w:div>
    <w:div w:id="1716000079">
      <w:bodyDiv w:val="1"/>
      <w:marLeft w:val="0"/>
      <w:marRight w:val="0"/>
      <w:marTop w:val="0"/>
      <w:marBottom w:val="0"/>
      <w:divBdr>
        <w:top w:val="none" w:sz="0" w:space="0" w:color="auto"/>
        <w:left w:val="none" w:sz="0" w:space="0" w:color="auto"/>
        <w:bottom w:val="none" w:sz="0" w:space="0" w:color="auto"/>
        <w:right w:val="none" w:sz="0" w:space="0" w:color="auto"/>
      </w:divBdr>
    </w:div>
    <w:div w:id="1717730781">
      <w:bodyDiv w:val="1"/>
      <w:marLeft w:val="0"/>
      <w:marRight w:val="0"/>
      <w:marTop w:val="0"/>
      <w:marBottom w:val="0"/>
      <w:divBdr>
        <w:top w:val="none" w:sz="0" w:space="0" w:color="auto"/>
        <w:left w:val="none" w:sz="0" w:space="0" w:color="auto"/>
        <w:bottom w:val="none" w:sz="0" w:space="0" w:color="auto"/>
        <w:right w:val="none" w:sz="0" w:space="0" w:color="auto"/>
      </w:divBdr>
    </w:div>
    <w:div w:id="1745832278">
      <w:bodyDiv w:val="1"/>
      <w:marLeft w:val="0"/>
      <w:marRight w:val="0"/>
      <w:marTop w:val="0"/>
      <w:marBottom w:val="0"/>
      <w:divBdr>
        <w:top w:val="none" w:sz="0" w:space="0" w:color="auto"/>
        <w:left w:val="none" w:sz="0" w:space="0" w:color="auto"/>
        <w:bottom w:val="none" w:sz="0" w:space="0" w:color="auto"/>
        <w:right w:val="none" w:sz="0" w:space="0" w:color="auto"/>
      </w:divBdr>
    </w:div>
    <w:div w:id="1746220223">
      <w:bodyDiv w:val="1"/>
      <w:marLeft w:val="0"/>
      <w:marRight w:val="0"/>
      <w:marTop w:val="0"/>
      <w:marBottom w:val="0"/>
      <w:divBdr>
        <w:top w:val="none" w:sz="0" w:space="0" w:color="auto"/>
        <w:left w:val="none" w:sz="0" w:space="0" w:color="auto"/>
        <w:bottom w:val="none" w:sz="0" w:space="0" w:color="auto"/>
        <w:right w:val="none" w:sz="0" w:space="0" w:color="auto"/>
      </w:divBdr>
    </w:div>
    <w:div w:id="1746225816">
      <w:bodyDiv w:val="1"/>
      <w:marLeft w:val="0"/>
      <w:marRight w:val="0"/>
      <w:marTop w:val="0"/>
      <w:marBottom w:val="0"/>
      <w:divBdr>
        <w:top w:val="none" w:sz="0" w:space="0" w:color="auto"/>
        <w:left w:val="none" w:sz="0" w:space="0" w:color="auto"/>
        <w:bottom w:val="none" w:sz="0" w:space="0" w:color="auto"/>
        <w:right w:val="none" w:sz="0" w:space="0" w:color="auto"/>
      </w:divBdr>
    </w:div>
    <w:div w:id="1746493104">
      <w:bodyDiv w:val="1"/>
      <w:marLeft w:val="0"/>
      <w:marRight w:val="0"/>
      <w:marTop w:val="0"/>
      <w:marBottom w:val="0"/>
      <w:divBdr>
        <w:top w:val="none" w:sz="0" w:space="0" w:color="auto"/>
        <w:left w:val="none" w:sz="0" w:space="0" w:color="auto"/>
        <w:bottom w:val="none" w:sz="0" w:space="0" w:color="auto"/>
        <w:right w:val="none" w:sz="0" w:space="0" w:color="auto"/>
      </w:divBdr>
    </w:div>
    <w:div w:id="1759406833">
      <w:bodyDiv w:val="1"/>
      <w:marLeft w:val="0"/>
      <w:marRight w:val="0"/>
      <w:marTop w:val="0"/>
      <w:marBottom w:val="0"/>
      <w:divBdr>
        <w:top w:val="none" w:sz="0" w:space="0" w:color="auto"/>
        <w:left w:val="none" w:sz="0" w:space="0" w:color="auto"/>
        <w:bottom w:val="none" w:sz="0" w:space="0" w:color="auto"/>
        <w:right w:val="none" w:sz="0" w:space="0" w:color="auto"/>
      </w:divBdr>
    </w:div>
    <w:div w:id="1824614895">
      <w:bodyDiv w:val="1"/>
      <w:marLeft w:val="0"/>
      <w:marRight w:val="0"/>
      <w:marTop w:val="0"/>
      <w:marBottom w:val="0"/>
      <w:divBdr>
        <w:top w:val="none" w:sz="0" w:space="0" w:color="auto"/>
        <w:left w:val="none" w:sz="0" w:space="0" w:color="auto"/>
        <w:bottom w:val="none" w:sz="0" w:space="0" w:color="auto"/>
        <w:right w:val="none" w:sz="0" w:space="0" w:color="auto"/>
      </w:divBdr>
    </w:div>
    <w:div w:id="1844080995">
      <w:bodyDiv w:val="1"/>
      <w:marLeft w:val="0"/>
      <w:marRight w:val="0"/>
      <w:marTop w:val="0"/>
      <w:marBottom w:val="0"/>
      <w:divBdr>
        <w:top w:val="none" w:sz="0" w:space="0" w:color="auto"/>
        <w:left w:val="none" w:sz="0" w:space="0" w:color="auto"/>
        <w:bottom w:val="none" w:sz="0" w:space="0" w:color="auto"/>
        <w:right w:val="none" w:sz="0" w:space="0" w:color="auto"/>
      </w:divBdr>
    </w:div>
    <w:div w:id="1850631929">
      <w:bodyDiv w:val="1"/>
      <w:marLeft w:val="0"/>
      <w:marRight w:val="0"/>
      <w:marTop w:val="0"/>
      <w:marBottom w:val="0"/>
      <w:divBdr>
        <w:top w:val="none" w:sz="0" w:space="0" w:color="auto"/>
        <w:left w:val="none" w:sz="0" w:space="0" w:color="auto"/>
        <w:bottom w:val="none" w:sz="0" w:space="0" w:color="auto"/>
        <w:right w:val="none" w:sz="0" w:space="0" w:color="auto"/>
      </w:divBdr>
    </w:div>
    <w:div w:id="1853295019">
      <w:bodyDiv w:val="1"/>
      <w:marLeft w:val="0"/>
      <w:marRight w:val="0"/>
      <w:marTop w:val="0"/>
      <w:marBottom w:val="0"/>
      <w:divBdr>
        <w:top w:val="none" w:sz="0" w:space="0" w:color="auto"/>
        <w:left w:val="none" w:sz="0" w:space="0" w:color="auto"/>
        <w:bottom w:val="none" w:sz="0" w:space="0" w:color="auto"/>
        <w:right w:val="none" w:sz="0" w:space="0" w:color="auto"/>
      </w:divBdr>
    </w:div>
    <w:div w:id="1854145825">
      <w:bodyDiv w:val="1"/>
      <w:marLeft w:val="0"/>
      <w:marRight w:val="0"/>
      <w:marTop w:val="0"/>
      <w:marBottom w:val="0"/>
      <w:divBdr>
        <w:top w:val="none" w:sz="0" w:space="0" w:color="auto"/>
        <w:left w:val="none" w:sz="0" w:space="0" w:color="auto"/>
        <w:bottom w:val="none" w:sz="0" w:space="0" w:color="auto"/>
        <w:right w:val="none" w:sz="0" w:space="0" w:color="auto"/>
      </w:divBdr>
    </w:div>
    <w:div w:id="1857960104">
      <w:bodyDiv w:val="1"/>
      <w:marLeft w:val="0"/>
      <w:marRight w:val="0"/>
      <w:marTop w:val="0"/>
      <w:marBottom w:val="0"/>
      <w:divBdr>
        <w:top w:val="none" w:sz="0" w:space="0" w:color="auto"/>
        <w:left w:val="none" w:sz="0" w:space="0" w:color="auto"/>
        <w:bottom w:val="none" w:sz="0" w:space="0" w:color="auto"/>
        <w:right w:val="none" w:sz="0" w:space="0" w:color="auto"/>
      </w:divBdr>
    </w:div>
    <w:div w:id="1861048835">
      <w:bodyDiv w:val="1"/>
      <w:marLeft w:val="0"/>
      <w:marRight w:val="0"/>
      <w:marTop w:val="0"/>
      <w:marBottom w:val="0"/>
      <w:divBdr>
        <w:top w:val="none" w:sz="0" w:space="0" w:color="auto"/>
        <w:left w:val="none" w:sz="0" w:space="0" w:color="auto"/>
        <w:bottom w:val="none" w:sz="0" w:space="0" w:color="auto"/>
        <w:right w:val="none" w:sz="0" w:space="0" w:color="auto"/>
      </w:divBdr>
    </w:div>
    <w:div w:id="1956787037">
      <w:bodyDiv w:val="1"/>
      <w:marLeft w:val="0"/>
      <w:marRight w:val="0"/>
      <w:marTop w:val="0"/>
      <w:marBottom w:val="0"/>
      <w:divBdr>
        <w:top w:val="none" w:sz="0" w:space="0" w:color="auto"/>
        <w:left w:val="none" w:sz="0" w:space="0" w:color="auto"/>
        <w:bottom w:val="none" w:sz="0" w:space="0" w:color="auto"/>
        <w:right w:val="none" w:sz="0" w:space="0" w:color="auto"/>
      </w:divBdr>
      <w:divsChild>
        <w:div w:id="1488092172">
          <w:marLeft w:val="0"/>
          <w:marRight w:val="0"/>
          <w:marTop w:val="0"/>
          <w:marBottom w:val="0"/>
          <w:divBdr>
            <w:top w:val="none" w:sz="0" w:space="0" w:color="auto"/>
            <w:left w:val="none" w:sz="0" w:space="0" w:color="auto"/>
            <w:bottom w:val="none" w:sz="0" w:space="0" w:color="auto"/>
            <w:right w:val="none" w:sz="0" w:space="0" w:color="auto"/>
          </w:divBdr>
          <w:divsChild>
            <w:div w:id="1090852911">
              <w:marLeft w:val="0"/>
              <w:marRight w:val="0"/>
              <w:marTop w:val="0"/>
              <w:marBottom w:val="0"/>
              <w:divBdr>
                <w:top w:val="none" w:sz="0" w:space="0" w:color="auto"/>
                <w:left w:val="none" w:sz="0" w:space="0" w:color="auto"/>
                <w:bottom w:val="none" w:sz="0" w:space="0" w:color="auto"/>
                <w:right w:val="none" w:sz="0" w:space="0" w:color="auto"/>
              </w:divBdr>
              <w:divsChild>
                <w:div w:id="1547185350">
                  <w:marLeft w:val="0"/>
                  <w:marRight w:val="0"/>
                  <w:marTop w:val="0"/>
                  <w:marBottom w:val="0"/>
                  <w:divBdr>
                    <w:top w:val="none" w:sz="0" w:space="0" w:color="auto"/>
                    <w:left w:val="none" w:sz="0" w:space="0" w:color="auto"/>
                    <w:bottom w:val="none" w:sz="0" w:space="0" w:color="auto"/>
                    <w:right w:val="none" w:sz="0" w:space="0" w:color="auto"/>
                  </w:divBdr>
                  <w:divsChild>
                    <w:div w:id="205573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4288657">
      <w:bodyDiv w:val="1"/>
      <w:marLeft w:val="0"/>
      <w:marRight w:val="0"/>
      <w:marTop w:val="0"/>
      <w:marBottom w:val="0"/>
      <w:divBdr>
        <w:top w:val="none" w:sz="0" w:space="0" w:color="auto"/>
        <w:left w:val="none" w:sz="0" w:space="0" w:color="auto"/>
        <w:bottom w:val="none" w:sz="0" w:space="0" w:color="auto"/>
        <w:right w:val="none" w:sz="0" w:space="0" w:color="auto"/>
      </w:divBdr>
    </w:div>
    <w:div w:id="2142337243">
      <w:bodyDiv w:val="1"/>
      <w:marLeft w:val="0"/>
      <w:marRight w:val="0"/>
      <w:marTop w:val="0"/>
      <w:marBottom w:val="0"/>
      <w:divBdr>
        <w:top w:val="none" w:sz="0" w:space="0" w:color="auto"/>
        <w:left w:val="none" w:sz="0" w:space="0" w:color="auto"/>
        <w:bottom w:val="none" w:sz="0" w:space="0" w:color="auto"/>
        <w:right w:val="none" w:sz="0" w:space="0" w:color="auto"/>
      </w:divBdr>
      <w:divsChild>
        <w:div w:id="2086216773">
          <w:marLeft w:val="0"/>
          <w:marRight w:val="0"/>
          <w:marTop w:val="0"/>
          <w:marBottom w:val="0"/>
          <w:divBdr>
            <w:top w:val="none" w:sz="0" w:space="0" w:color="auto"/>
            <w:left w:val="none" w:sz="0" w:space="0" w:color="auto"/>
            <w:bottom w:val="none" w:sz="0" w:space="0" w:color="auto"/>
            <w:right w:val="none" w:sz="0" w:space="0" w:color="auto"/>
          </w:divBdr>
          <w:divsChild>
            <w:div w:id="502866179">
              <w:marLeft w:val="0"/>
              <w:marRight w:val="0"/>
              <w:marTop w:val="0"/>
              <w:marBottom w:val="0"/>
              <w:divBdr>
                <w:top w:val="none" w:sz="0" w:space="0" w:color="auto"/>
                <w:left w:val="none" w:sz="0" w:space="0" w:color="auto"/>
                <w:bottom w:val="none" w:sz="0" w:space="0" w:color="auto"/>
                <w:right w:val="none" w:sz="0" w:space="0" w:color="auto"/>
              </w:divBdr>
              <w:divsChild>
                <w:div w:id="647708747">
                  <w:marLeft w:val="0"/>
                  <w:marRight w:val="0"/>
                  <w:marTop w:val="0"/>
                  <w:marBottom w:val="0"/>
                  <w:divBdr>
                    <w:top w:val="none" w:sz="0" w:space="0" w:color="auto"/>
                    <w:left w:val="none" w:sz="0" w:space="0" w:color="auto"/>
                    <w:bottom w:val="none" w:sz="0" w:space="0" w:color="auto"/>
                    <w:right w:val="none" w:sz="0" w:space="0" w:color="auto"/>
                  </w:divBdr>
                  <w:divsChild>
                    <w:div w:id="40160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image" Target="media/image3.pn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image" Target="media/image2.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chart" Target="charts/chart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chart" Target="charts/chart8.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image" Target="media/image5.emf"/><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oleObject" Target="Microsoft%20Word%20diagrama"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BSERVERIS\tamosauskiene_m\Ritos-fin\biudzeto%20vykdymo%20sprendimai%20ir%20medziaga\2021%20m.%20biudzeto%20vykdymas\grafikai%202021%20analizei.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BSERVERIS\tamosauskiene_m\Ritos-fin\biudzeto%20vykdymo%20sprendimai%20ir%20medziaga\2021%20m.%20biudzeto%20vykdymas\grafikai%202021%20analizei.xls" TargetMode="External"/></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2.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3.xml"/></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75"/>
      <c:rotY val="0"/>
      <c:rAngAx val="0"/>
      <c:perspective val="30"/>
    </c:view3D>
    <c:floor>
      <c:thickness val="0"/>
    </c:floor>
    <c:sideWall>
      <c:thickness val="0"/>
    </c:sideWall>
    <c:backWall>
      <c:thickness val="0"/>
    </c:backWall>
    <c:plotArea>
      <c:layout>
        <c:manualLayout>
          <c:layoutTarget val="inner"/>
          <c:xMode val="edge"/>
          <c:yMode val="edge"/>
          <c:x val="7.9263789700706022E-2"/>
          <c:y val="3.5496776495171113E-2"/>
          <c:w val="0.49621664733768744"/>
          <c:h val="0.96450322350482887"/>
        </c:manualLayout>
      </c:layout>
      <c:pie3DChart>
        <c:varyColors val="1"/>
        <c:ser>
          <c:idx val="0"/>
          <c:order val="0"/>
          <c:spPr>
            <a:solidFill>
              <a:srgbClr val="FFC000"/>
            </a:solidFill>
            <a:ln>
              <a:solidFill>
                <a:srgbClr val="4F81BD"/>
              </a:solidFill>
            </a:ln>
            <a:effectLst>
              <a:outerShdw blurRad="165100" dist="50800" dir="5400000" algn="ctr" rotWithShape="0">
                <a:srgbClr val="000000">
                  <a:alpha val="43137"/>
                </a:srgbClr>
              </a:outerShdw>
            </a:effectLst>
          </c:spPr>
          <c:dPt>
            <c:idx val="0"/>
            <c:bubble3D val="0"/>
            <c:spPr>
              <a:solidFill>
                <a:srgbClr val="92D050"/>
              </a:solidFill>
              <a:ln>
                <a:solidFill>
                  <a:srgbClr val="4F81BD"/>
                </a:solidFill>
              </a:ln>
              <a:effectLst>
                <a:outerShdw blurRad="165100" dist="50800" dir="5400000" algn="ctr" rotWithShape="0">
                  <a:srgbClr val="000000">
                    <a:alpha val="43137"/>
                  </a:srgbClr>
                </a:outerShdw>
              </a:effectLst>
            </c:spPr>
          </c:dPt>
          <c:dPt>
            <c:idx val="1"/>
            <c:bubble3D val="0"/>
            <c:spPr>
              <a:solidFill>
                <a:schemeClr val="accent4"/>
              </a:solidFill>
              <a:ln>
                <a:solidFill>
                  <a:srgbClr val="4F81BD"/>
                </a:solidFill>
              </a:ln>
              <a:effectLst>
                <a:outerShdw blurRad="165100" dist="50800" dir="5400000" algn="ctr" rotWithShape="0">
                  <a:srgbClr val="000000">
                    <a:alpha val="43137"/>
                  </a:srgbClr>
                </a:outerShdw>
              </a:effectLst>
            </c:spPr>
          </c:dPt>
          <c:dPt>
            <c:idx val="2"/>
            <c:bubble3D val="0"/>
          </c:dPt>
          <c:dPt>
            <c:idx val="3"/>
            <c:bubble3D val="0"/>
            <c:spPr>
              <a:solidFill>
                <a:schemeClr val="accent5">
                  <a:lumMod val="40000"/>
                  <a:lumOff val="60000"/>
                </a:schemeClr>
              </a:solidFill>
              <a:ln>
                <a:solidFill>
                  <a:srgbClr val="4F81BD"/>
                </a:solidFill>
              </a:ln>
              <a:effectLst>
                <a:outerShdw blurRad="165100" dist="50800" dir="5400000" algn="ctr" rotWithShape="0">
                  <a:srgbClr val="000000">
                    <a:alpha val="43137"/>
                  </a:srgbClr>
                </a:outerShdw>
              </a:effectLst>
            </c:spPr>
          </c:dPt>
          <c:dLbls>
            <c:dLbl>
              <c:idx val="0"/>
              <c:layout>
                <c:manualLayout>
                  <c:x val="-2.1057763128446153E-2"/>
                  <c:y val="-4.865759498509288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1573582371970944E-3"/>
                  <c:y val="7.8146421017761137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8.7785305906529134E-3"/>
                  <c:y val="-3.37950717325382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0398990823821441E-3"/>
                  <c:y val="-7.5068165023061441E-3"/>
                </c:manualLayout>
              </c:layout>
              <c:numFmt formatCode="#,##0.0" sourceLinked="0"/>
              <c:spPr>
                <a:solidFill>
                  <a:schemeClr val="accent1">
                    <a:lumMod val="40000"/>
                    <a:lumOff val="60000"/>
                  </a:schemeClr>
                </a:solidFill>
              </c:spPr>
              <c:txPr>
                <a:bodyPr/>
                <a:lstStyle/>
                <a:p>
                  <a:pPr>
                    <a:defRPr sz="1200">
                      <a:latin typeface="Times New Roman" panose="02020603050405020304" pitchFamily="18" charset="0"/>
                      <a:cs typeface="Times New Roman" panose="02020603050405020304" pitchFamily="18" charset="0"/>
                    </a:defRPr>
                  </a:pPr>
                  <a:endParaRPr lang="lt-LT"/>
                </a:p>
              </c:txPr>
              <c:showLegendKey val="0"/>
              <c:showVal val="1"/>
              <c:showCatName val="0"/>
              <c:showSerName val="0"/>
              <c:showPercent val="0"/>
              <c:showBubbleSize val="0"/>
              <c:extLst>
                <c:ext xmlns:c15="http://schemas.microsoft.com/office/drawing/2012/chart" uri="{CE6537A1-D6FC-4f65-9D91-7224C49458BB}">
                  <c15:layout/>
                </c:ext>
              </c:extLst>
            </c:dLbl>
            <c:numFmt formatCode="0.0" sourceLinked="0"/>
            <c:spPr>
              <a:solidFill>
                <a:schemeClr val="accent1">
                  <a:lumMod val="40000"/>
                  <a:lumOff val="60000"/>
                </a:schemeClr>
              </a:solidFill>
            </c:spPr>
            <c:txPr>
              <a:bodyPr/>
              <a:lstStyle/>
              <a:p>
                <a:pPr>
                  <a:defRPr sz="1200">
                    <a:latin typeface="Times New Roman" panose="02020603050405020304" pitchFamily="18" charset="0"/>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extLst>
          </c:dLbls>
          <c:cat>
            <c:strRef>
              <c:f>Sheet1!$A$6:$A$9</c:f>
              <c:strCache>
                <c:ptCount val="4"/>
                <c:pt idx="0">
                  <c:v>Gyventojų pajamų mokestis gautas iš VMI</c:v>
                </c:pt>
                <c:pt idx="1">
                  <c:v>Kiti mokesčiai</c:v>
                </c:pt>
                <c:pt idx="2">
                  <c:v>Dotacijos</c:v>
                </c:pt>
                <c:pt idx="3">
                  <c:v>Kitos pajamos</c:v>
                </c:pt>
              </c:strCache>
            </c:strRef>
          </c:cat>
          <c:val>
            <c:numRef>
              <c:f>Sheet1!$B$6:$B$9</c:f>
              <c:numCache>
                <c:formatCode>0.0</c:formatCode>
                <c:ptCount val="4"/>
                <c:pt idx="0">
                  <c:v>41.703148875535518</c:v>
                </c:pt>
                <c:pt idx="1">
                  <c:v>2.2239929504185687</c:v>
                </c:pt>
                <c:pt idx="2">
                  <c:v>51.323765151444135</c:v>
                </c:pt>
                <c:pt idx="3">
                  <c:v>4.7490930226017829</c:v>
                </c:pt>
              </c:numCache>
            </c:numRef>
          </c:val>
        </c:ser>
        <c:dLbls>
          <c:showLegendKey val="0"/>
          <c:showVal val="0"/>
          <c:showCatName val="0"/>
          <c:showSerName val="0"/>
          <c:showPercent val="0"/>
          <c:showBubbleSize val="0"/>
          <c:showLeaderLines val="0"/>
        </c:dLbls>
      </c:pie3DChart>
      <c:spPr>
        <a:noFill/>
        <a:ln w="25400">
          <a:noFill/>
        </a:ln>
      </c:spPr>
    </c:plotArea>
    <c:legend>
      <c:legendPos val="r"/>
      <c:overlay val="0"/>
      <c:txPr>
        <a:bodyPr/>
        <a:lstStyle/>
        <a:p>
          <a:pPr>
            <a:defRPr sz="1200">
              <a:latin typeface="Times New Roman" panose="02020603050405020304" pitchFamily="18" charset="0"/>
              <a:cs typeface="Times New Roman" panose="02020603050405020304" pitchFamily="18" charset="0"/>
            </a:defRPr>
          </a:pPr>
          <a:endParaRPr lang="lt-LT"/>
        </a:p>
      </c:txPr>
    </c:legend>
    <c:plotVisOnly val="1"/>
    <c:dispBlanksAs val="zero"/>
    <c:showDLblsOverMax val="0"/>
  </c:chart>
  <c:spPr>
    <a:noFill/>
    <a:ln>
      <a:noFill/>
    </a:ln>
    <a:effectLst>
      <a:glow>
        <a:schemeClr val="accent1"/>
      </a:glow>
      <a:outerShdw blurRad="381000" dist="228600" dir="4740000" algn="ctr" rotWithShape="0">
        <a:schemeClr val="bg1">
          <a:alpha val="58000"/>
        </a:schemeClr>
      </a:outerShdw>
    </a:effectLst>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'[Microsoft Word diagrama]Sheet6'!$A$2</c:f>
              <c:strCache>
                <c:ptCount val="1"/>
                <c:pt idx="0">
                  <c:v>Gyventojų pajamų mokestis </c:v>
                </c:pt>
              </c:strCache>
            </c:strRef>
          </c:tx>
          <c:spPr>
            <a:solidFill>
              <a:srgbClr val="FFC000"/>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'[Microsoft Word diagrama]Sheet6'!$B$1:$E$1</c:f>
              <c:numCache>
                <c:formatCode>General</c:formatCode>
                <c:ptCount val="4"/>
                <c:pt idx="0">
                  <c:v>2018</c:v>
                </c:pt>
                <c:pt idx="1">
                  <c:v>2019</c:v>
                </c:pt>
                <c:pt idx="2">
                  <c:v>2020</c:v>
                </c:pt>
                <c:pt idx="3">
                  <c:v>2021</c:v>
                </c:pt>
              </c:numCache>
            </c:numRef>
          </c:cat>
          <c:val>
            <c:numRef>
              <c:f>'[Microsoft Word diagrama]Sheet6'!$B$2:$E$2</c:f>
              <c:numCache>
                <c:formatCode>0.0</c:formatCode>
                <c:ptCount val="4"/>
                <c:pt idx="0" formatCode="General">
                  <c:v>17.100000000000001</c:v>
                </c:pt>
                <c:pt idx="1">
                  <c:v>18</c:v>
                </c:pt>
                <c:pt idx="2">
                  <c:v>18</c:v>
                </c:pt>
                <c:pt idx="3" formatCode="General">
                  <c:v>22.2</c:v>
                </c:pt>
              </c:numCache>
            </c:numRef>
          </c:val>
        </c:ser>
        <c:ser>
          <c:idx val="1"/>
          <c:order val="1"/>
          <c:tx>
            <c:strRef>
              <c:f>'[Microsoft Word diagrama]Sheet6'!$A$3</c:f>
              <c:strCache>
                <c:ptCount val="1"/>
                <c:pt idx="0">
                  <c:v>Kiti mokesčiai</c:v>
                </c:pt>
              </c:strCache>
            </c:strRef>
          </c:tx>
          <c:spPr>
            <a:solidFill>
              <a:schemeClr val="tx2">
                <a:lumMod val="60000"/>
                <a:lumOff val="40000"/>
              </a:scheme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'[Microsoft Word diagrama]Sheet6'!$B$1:$E$1</c:f>
              <c:numCache>
                <c:formatCode>General</c:formatCode>
                <c:ptCount val="4"/>
                <c:pt idx="0">
                  <c:v>2018</c:v>
                </c:pt>
                <c:pt idx="1">
                  <c:v>2019</c:v>
                </c:pt>
                <c:pt idx="2">
                  <c:v>2020</c:v>
                </c:pt>
                <c:pt idx="3">
                  <c:v>2021</c:v>
                </c:pt>
              </c:numCache>
            </c:numRef>
          </c:cat>
          <c:val>
            <c:numRef>
              <c:f>'[Microsoft Word diagrama]Sheet6'!$B$3:$E$3</c:f>
              <c:numCache>
                <c:formatCode>General</c:formatCode>
                <c:ptCount val="4"/>
                <c:pt idx="0">
                  <c:v>1.1000000000000001</c:v>
                </c:pt>
                <c:pt idx="1">
                  <c:v>1.2</c:v>
                </c:pt>
                <c:pt idx="2" formatCode="0.0">
                  <c:v>1</c:v>
                </c:pt>
                <c:pt idx="3">
                  <c:v>0.9</c:v>
                </c:pt>
              </c:numCache>
            </c:numRef>
          </c:val>
        </c:ser>
        <c:ser>
          <c:idx val="2"/>
          <c:order val="2"/>
          <c:tx>
            <c:strRef>
              <c:f>'[Microsoft Word diagrama]Sheet6'!$A$4</c:f>
              <c:strCache>
                <c:ptCount val="1"/>
                <c:pt idx="0">
                  <c:v>Dotacijos</c:v>
                </c:pt>
              </c:strCache>
            </c:strRef>
          </c:tx>
          <c:spPr>
            <a:solidFill>
              <a:schemeClr val="accent4">
                <a:lumMod val="40000"/>
                <a:lumOff val="60000"/>
              </a:scheme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'[Microsoft Word diagrama]Sheet6'!$B$1:$E$1</c:f>
              <c:numCache>
                <c:formatCode>General</c:formatCode>
                <c:ptCount val="4"/>
                <c:pt idx="0">
                  <c:v>2018</c:v>
                </c:pt>
                <c:pt idx="1">
                  <c:v>2019</c:v>
                </c:pt>
                <c:pt idx="2">
                  <c:v>2020</c:v>
                </c:pt>
                <c:pt idx="3">
                  <c:v>2021</c:v>
                </c:pt>
              </c:numCache>
            </c:numRef>
          </c:cat>
          <c:val>
            <c:numRef>
              <c:f>'[Microsoft Word diagrama]Sheet6'!$B$4:$E$4</c:f>
              <c:numCache>
                <c:formatCode>General</c:formatCode>
                <c:ptCount val="4"/>
                <c:pt idx="0">
                  <c:v>17.5</c:v>
                </c:pt>
                <c:pt idx="1">
                  <c:v>19.5</c:v>
                </c:pt>
                <c:pt idx="2">
                  <c:v>27.7</c:v>
                </c:pt>
                <c:pt idx="3">
                  <c:v>27.4</c:v>
                </c:pt>
              </c:numCache>
            </c:numRef>
          </c:val>
        </c:ser>
        <c:ser>
          <c:idx val="3"/>
          <c:order val="3"/>
          <c:tx>
            <c:strRef>
              <c:f>'[Microsoft Word diagrama]Sheet6'!$A$5</c:f>
              <c:strCache>
                <c:ptCount val="1"/>
                <c:pt idx="0">
                  <c:v>Kitos pajamos</c:v>
                </c:pt>
              </c:strCache>
            </c:strRef>
          </c:tx>
          <c:spPr>
            <a:solidFill>
              <a:srgbClr val="C00000"/>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'[Microsoft Word diagrama]Sheet6'!$B$1:$E$1</c:f>
              <c:numCache>
                <c:formatCode>General</c:formatCode>
                <c:ptCount val="4"/>
                <c:pt idx="0">
                  <c:v>2018</c:v>
                </c:pt>
                <c:pt idx="1">
                  <c:v>2019</c:v>
                </c:pt>
                <c:pt idx="2">
                  <c:v>2020</c:v>
                </c:pt>
                <c:pt idx="3">
                  <c:v>2021</c:v>
                </c:pt>
              </c:numCache>
            </c:numRef>
          </c:cat>
          <c:val>
            <c:numRef>
              <c:f>'[Microsoft Word diagrama]Sheet6'!$B$5:$E$5</c:f>
              <c:numCache>
                <c:formatCode>General</c:formatCode>
                <c:ptCount val="4"/>
                <c:pt idx="0">
                  <c:v>2.2999999999999998</c:v>
                </c:pt>
                <c:pt idx="1">
                  <c:v>2.6</c:v>
                </c:pt>
                <c:pt idx="2">
                  <c:v>2.9</c:v>
                </c:pt>
                <c:pt idx="3">
                  <c:v>2.8</c:v>
                </c:pt>
              </c:numCache>
            </c:numRef>
          </c:val>
        </c:ser>
        <c:dLbls>
          <c:showLegendKey val="0"/>
          <c:showVal val="0"/>
          <c:showCatName val="0"/>
          <c:showSerName val="0"/>
          <c:showPercent val="0"/>
          <c:showBubbleSize val="0"/>
        </c:dLbls>
        <c:gapWidth val="150"/>
        <c:axId val="98993152"/>
        <c:axId val="121305280"/>
      </c:barChart>
      <c:catAx>
        <c:axId val="98993152"/>
        <c:scaling>
          <c:orientation val="minMax"/>
        </c:scaling>
        <c:delete val="0"/>
        <c:axPos val="l"/>
        <c:numFmt formatCode="General" sourceLinked="1"/>
        <c:majorTickMark val="out"/>
        <c:minorTickMark val="none"/>
        <c:tickLblPos val="nextTo"/>
        <c:crossAx val="121305280"/>
        <c:crosses val="autoZero"/>
        <c:auto val="1"/>
        <c:lblAlgn val="ctr"/>
        <c:lblOffset val="100"/>
        <c:noMultiLvlLbl val="0"/>
      </c:catAx>
      <c:valAx>
        <c:axId val="121305280"/>
        <c:scaling>
          <c:orientation val="minMax"/>
        </c:scaling>
        <c:delete val="0"/>
        <c:axPos val="b"/>
        <c:majorGridlines/>
        <c:numFmt formatCode="General" sourceLinked="1"/>
        <c:majorTickMark val="out"/>
        <c:minorTickMark val="none"/>
        <c:tickLblPos val="nextTo"/>
        <c:crossAx val="98993152"/>
        <c:crosses val="autoZero"/>
        <c:crossBetween val="between"/>
      </c:valAx>
      <c:spPr>
        <a:ln>
          <a:noFill/>
        </a:ln>
      </c:spPr>
    </c:plotArea>
    <c:legend>
      <c:legendPos val="r"/>
      <c:overlay val="0"/>
      <c:txPr>
        <a:bodyPr/>
        <a:lstStyle/>
        <a:p>
          <a:pPr>
            <a:defRPr sz="1200">
              <a:latin typeface="Times New Roman" panose="02020603050405020304" pitchFamily="18" charset="0"/>
              <a:cs typeface="Times New Roman" panose="02020603050405020304" pitchFamily="18" charset="0"/>
            </a:defRPr>
          </a:pPr>
          <a:endParaRPr lang="lt-LT"/>
        </a:p>
      </c:txPr>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Sheet7!$A$2</c:f>
              <c:strCache>
                <c:ptCount val="1"/>
                <c:pt idx="0">
                  <c:v>Savivaldybės biudžeto pajamų planas, tvirtinant biudžetą</c:v>
                </c:pt>
              </c:strCache>
            </c:strRef>
          </c:tx>
          <c:spPr>
            <a:solidFill>
              <a:schemeClr val="accent3">
                <a:lumMod val="40000"/>
                <a:lumOff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Sheet7!$B$1:$F$1</c:f>
              <c:numCache>
                <c:formatCode>General</c:formatCode>
                <c:ptCount val="5"/>
                <c:pt idx="0">
                  <c:v>2017</c:v>
                </c:pt>
                <c:pt idx="1">
                  <c:v>2018</c:v>
                </c:pt>
                <c:pt idx="2">
                  <c:v>2019</c:v>
                </c:pt>
                <c:pt idx="3">
                  <c:v>2020</c:v>
                </c:pt>
                <c:pt idx="4">
                  <c:v>2021</c:v>
                </c:pt>
              </c:numCache>
            </c:numRef>
          </c:cat>
          <c:val>
            <c:numRef>
              <c:f>Sheet7!$B$2:$F$2</c:f>
              <c:numCache>
                <c:formatCode>0.0</c:formatCode>
                <c:ptCount val="5"/>
                <c:pt idx="0">
                  <c:v>28.5</c:v>
                </c:pt>
                <c:pt idx="1">
                  <c:v>34.799999999999997</c:v>
                </c:pt>
                <c:pt idx="2">
                  <c:v>37.799999999999997</c:v>
                </c:pt>
                <c:pt idx="3">
                  <c:v>43</c:v>
                </c:pt>
                <c:pt idx="4">
                  <c:v>43.8</c:v>
                </c:pt>
              </c:numCache>
            </c:numRef>
          </c:val>
        </c:ser>
        <c:ser>
          <c:idx val="1"/>
          <c:order val="1"/>
          <c:tx>
            <c:strRef>
              <c:f>Sheet7!$A$3</c:f>
              <c:strCache>
                <c:ptCount val="1"/>
                <c:pt idx="0">
                  <c:v>Savivaldybės biudžeto pajamų patikslintas planas</c:v>
                </c:pt>
              </c:strCache>
            </c:strRef>
          </c:tx>
          <c:spPr>
            <a:solidFill>
              <a:schemeClr val="accent3">
                <a:lumMod val="7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Sheet7!$B$1:$F$1</c:f>
              <c:numCache>
                <c:formatCode>General</c:formatCode>
                <c:ptCount val="5"/>
                <c:pt idx="0">
                  <c:v>2017</c:v>
                </c:pt>
                <c:pt idx="1">
                  <c:v>2018</c:v>
                </c:pt>
                <c:pt idx="2">
                  <c:v>2019</c:v>
                </c:pt>
                <c:pt idx="3">
                  <c:v>2020</c:v>
                </c:pt>
                <c:pt idx="4">
                  <c:v>2021</c:v>
                </c:pt>
              </c:numCache>
            </c:numRef>
          </c:cat>
          <c:val>
            <c:numRef>
              <c:f>Sheet7!$B$3:$F$3</c:f>
              <c:numCache>
                <c:formatCode>0.0</c:formatCode>
                <c:ptCount val="5"/>
                <c:pt idx="0">
                  <c:v>32.799999999999997</c:v>
                </c:pt>
                <c:pt idx="1">
                  <c:v>38.299999999999997</c:v>
                </c:pt>
                <c:pt idx="2">
                  <c:v>41.4</c:v>
                </c:pt>
                <c:pt idx="3">
                  <c:v>50.9</c:v>
                </c:pt>
                <c:pt idx="4">
                  <c:v>53.2</c:v>
                </c:pt>
              </c:numCache>
            </c:numRef>
          </c:val>
        </c:ser>
        <c:ser>
          <c:idx val="2"/>
          <c:order val="2"/>
          <c:tx>
            <c:strRef>
              <c:f>Sheet7!$A$4</c:f>
              <c:strCache>
                <c:ptCount val="1"/>
                <c:pt idx="0">
                  <c:v>Savivaldybės biudžeto pajamų  plano įvykdymas</c:v>
                </c:pt>
              </c:strCache>
            </c:strRef>
          </c:tx>
          <c:spPr>
            <a:solidFill>
              <a:srgbClr val="FFC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Sheet7!$B$1:$F$1</c:f>
              <c:numCache>
                <c:formatCode>General</c:formatCode>
                <c:ptCount val="5"/>
                <c:pt idx="0">
                  <c:v>2017</c:v>
                </c:pt>
                <c:pt idx="1">
                  <c:v>2018</c:v>
                </c:pt>
                <c:pt idx="2">
                  <c:v>2019</c:v>
                </c:pt>
                <c:pt idx="3">
                  <c:v>2020</c:v>
                </c:pt>
                <c:pt idx="4">
                  <c:v>2021</c:v>
                </c:pt>
              </c:numCache>
            </c:numRef>
          </c:cat>
          <c:val>
            <c:numRef>
              <c:f>Sheet7!$B$4:$F$4</c:f>
              <c:numCache>
                <c:formatCode>0.0</c:formatCode>
                <c:ptCount val="5"/>
                <c:pt idx="0">
                  <c:v>32.700000000000003</c:v>
                </c:pt>
                <c:pt idx="1">
                  <c:v>38</c:v>
                </c:pt>
                <c:pt idx="2">
                  <c:v>41.3</c:v>
                </c:pt>
                <c:pt idx="3">
                  <c:v>49.6</c:v>
                </c:pt>
                <c:pt idx="4">
                  <c:v>53.3</c:v>
                </c:pt>
              </c:numCache>
            </c:numRef>
          </c:val>
        </c:ser>
        <c:dLbls>
          <c:showLegendKey val="0"/>
          <c:showVal val="0"/>
          <c:showCatName val="0"/>
          <c:showSerName val="0"/>
          <c:showPercent val="0"/>
          <c:showBubbleSize val="0"/>
        </c:dLbls>
        <c:gapWidth val="219"/>
        <c:overlap val="-27"/>
        <c:axId val="77194752"/>
        <c:axId val="121303552"/>
      </c:barChart>
      <c:catAx>
        <c:axId val="771947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121303552"/>
        <c:crosses val="autoZero"/>
        <c:auto val="1"/>
        <c:lblAlgn val="ctr"/>
        <c:lblOffset val="100"/>
        <c:noMultiLvlLbl val="0"/>
      </c:catAx>
      <c:valAx>
        <c:axId val="121303552"/>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771947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legend>
    <c:plotVisOnly val="1"/>
    <c:dispBlanksAs val="gap"/>
    <c:showDLblsOverMax val="0"/>
  </c:chart>
  <c:spPr>
    <a:solidFill>
      <a:schemeClr val="bg1"/>
    </a:solidFill>
    <a:ln w="9525" cap="flat" cmpd="sng" algn="ctr">
      <a:noFill/>
      <a:round/>
    </a:ln>
    <a:effectLst/>
  </c:spPr>
  <c:txPr>
    <a:bodyPr/>
    <a:lstStyle/>
    <a:p>
      <a:pPr>
        <a:defRPr sz="1000" b="0" baseline="0">
          <a:solidFill>
            <a:sysClr val="windowText" lastClr="000000"/>
          </a:solidFill>
          <a:latin typeface="Times New Roman" panose="02020603050405020304" pitchFamily="18" charset="0"/>
          <a:cs typeface="Times New Roman" panose="02020603050405020304" pitchFamily="18" charset="0"/>
        </a:defRPr>
      </a:pPr>
      <a:endParaRPr lang="lt-LT"/>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Sheet6!$A$2</c:f>
              <c:strCache>
                <c:ptCount val="1"/>
              </c:strCache>
            </c:strRef>
          </c:tx>
          <c:spPr>
            <a:solidFill>
              <a:schemeClr val="accent1"/>
            </a:solidFill>
            <a:ln>
              <a:noFill/>
            </a:ln>
            <a:effectLst/>
          </c:spPr>
          <c:invertIfNegative val="0"/>
          <c:cat>
            <c:strRef>
              <c:f>Sheet6!$B$1:$I$1</c:f>
              <c:strCache>
                <c:ptCount val="8"/>
                <c:pt idx="0">
                  <c:v>Ugdymo kokybės ir modernios aplinkos užtikrinimo programa</c:v>
                </c:pt>
                <c:pt idx="1">
                  <c:v>Ekonominės ir projektinės veiklos programa</c:v>
                </c:pt>
                <c:pt idx="2">
                  <c:v>Teritorijų planavimo programa</c:v>
                </c:pt>
                <c:pt idx="3">
                  <c:v>Socialiai saugios ir sveikos aplinkos kūrimo programa</c:v>
                </c:pt>
                <c:pt idx="4">
                  <c:v>Savivaldybės aplinkos apsaugos  programa</c:v>
                </c:pt>
                <c:pt idx="5">
                  <c:v>Kultūros ir sporto programa</c:v>
                </c:pt>
                <c:pt idx="6">
                  <c:v>Savivaldybės veiklos valdymo programa</c:v>
                </c:pt>
                <c:pt idx="7">
                  <c:v>Infrastruktūros objektų priežiūros ir ūkinių subjektų rėmimo programa</c:v>
                </c:pt>
              </c:strCache>
            </c:strRef>
          </c:cat>
          <c:val>
            <c:numRef>
              <c:f>Sheet6!$B$2:$I$2</c:f>
              <c:numCache>
                <c:formatCode>General</c:formatCode>
                <c:ptCount val="8"/>
              </c:numCache>
            </c:numRef>
          </c:val>
        </c:ser>
        <c:ser>
          <c:idx val="1"/>
          <c:order val="1"/>
          <c:tx>
            <c:strRef>
              <c:f>Sheet6!$A$3</c:f>
              <c:strCache>
                <c:ptCount val="1"/>
                <c:pt idx="0">
                  <c:v>2018 m.</c:v>
                </c:pt>
              </c:strCache>
            </c:strRef>
          </c:tx>
          <c:spPr>
            <a:solidFill>
              <a:schemeClr val="accent6">
                <a:lumMod val="7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Sheet6!$B$1:$I$1</c:f>
              <c:strCache>
                <c:ptCount val="8"/>
                <c:pt idx="0">
                  <c:v>Ugdymo kokybės ir modernios aplinkos užtikrinimo programa</c:v>
                </c:pt>
                <c:pt idx="1">
                  <c:v>Ekonominės ir projektinės veiklos programa</c:v>
                </c:pt>
                <c:pt idx="2">
                  <c:v>Teritorijų planavimo programa</c:v>
                </c:pt>
                <c:pt idx="3">
                  <c:v>Socialiai saugios ir sveikos aplinkos kūrimo programa</c:v>
                </c:pt>
                <c:pt idx="4">
                  <c:v>Savivaldybės aplinkos apsaugos  programa</c:v>
                </c:pt>
                <c:pt idx="5">
                  <c:v>Kultūros ir sporto programa</c:v>
                </c:pt>
                <c:pt idx="6">
                  <c:v>Savivaldybės veiklos valdymo programa</c:v>
                </c:pt>
                <c:pt idx="7">
                  <c:v>Infrastruktūros objektų priežiūros ir ūkinių subjektų rėmimo programa</c:v>
                </c:pt>
              </c:strCache>
            </c:strRef>
          </c:cat>
          <c:val>
            <c:numRef>
              <c:f>Sheet6!$B$3:$I$3</c:f>
              <c:numCache>
                <c:formatCode>General</c:formatCode>
                <c:ptCount val="8"/>
                <c:pt idx="0">
                  <c:v>14.8</c:v>
                </c:pt>
                <c:pt idx="1">
                  <c:v>6.7</c:v>
                </c:pt>
                <c:pt idx="2">
                  <c:v>0.3</c:v>
                </c:pt>
                <c:pt idx="3">
                  <c:v>5.2</c:v>
                </c:pt>
                <c:pt idx="4">
                  <c:v>1.1000000000000001</c:v>
                </c:pt>
                <c:pt idx="5">
                  <c:v>2.2000000000000002</c:v>
                </c:pt>
                <c:pt idx="6">
                  <c:v>5.9</c:v>
                </c:pt>
                <c:pt idx="7">
                  <c:v>2.5</c:v>
                </c:pt>
              </c:numCache>
            </c:numRef>
          </c:val>
        </c:ser>
        <c:ser>
          <c:idx val="2"/>
          <c:order val="2"/>
          <c:tx>
            <c:strRef>
              <c:f>Sheet6!$A$4</c:f>
              <c:strCache>
                <c:ptCount val="1"/>
                <c:pt idx="0">
                  <c:v>2019 m.</c:v>
                </c:pt>
              </c:strCache>
            </c:strRef>
          </c:tx>
          <c:spPr>
            <a:solidFill>
              <a:schemeClr val="accent6">
                <a:lumMod val="60000"/>
                <a:lumOff val="4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Sheet6!$B$1:$I$1</c:f>
              <c:strCache>
                <c:ptCount val="8"/>
                <c:pt idx="0">
                  <c:v>Ugdymo kokybės ir modernios aplinkos užtikrinimo programa</c:v>
                </c:pt>
                <c:pt idx="1">
                  <c:v>Ekonominės ir projektinės veiklos programa</c:v>
                </c:pt>
                <c:pt idx="2">
                  <c:v>Teritorijų planavimo programa</c:v>
                </c:pt>
                <c:pt idx="3">
                  <c:v>Socialiai saugios ir sveikos aplinkos kūrimo programa</c:v>
                </c:pt>
                <c:pt idx="4">
                  <c:v>Savivaldybės aplinkos apsaugos  programa</c:v>
                </c:pt>
                <c:pt idx="5">
                  <c:v>Kultūros ir sporto programa</c:v>
                </c:pt>
                <c:pt idx="6">
                  <c:v>Savivaldybės veiklos valdymo programa</c:v>
                </c:pt>
                <c:pt idx="7">
                  <c:v>Infrastruktūros objektų priežiūros ir ūkinių subjektų rėmimo programa</c:v>
                </c:pt>
              </c:strCache>
            </c:strRef>
          </c:cat>
          <c:val>
            <c:numRef>
              <c:f>Sheet6!$B$4:$I$4</c:f>
              <c:numCache>
                <c:formatCode>General</c:formatCode>
                <c:ptCount val="8"/>
                <c:pt idx="0">
                  <c:v>15.6</c:v>
                </c:pt>
                <c:pt idx="1">
                  <c:v>7.3</c:v>
                </c:pt>
                <c:pt idx="2">
                  <c:v>0.1</c:v>
                </c:pt>
                <c:pt idx="3">
                  <c:v>5.6</c:v>
                </c:pt>
                <c:pt idx="4">
                  <c:v>1.1000000000000001</c:v>
                </c:pt>
                <c:pt idx="5">
                  <c:v>2.2999999999999998</c:v>
                </c:pt>
                <c:pt idx="6">
                  <c:v>6.7</c:v>
                </c:pt>
                <c:pt idx="7">
                  <c:v>3.8</c:v>
                </c:pt>
              </c:numCache>
            </c:numRef>
          </c:val>
        </c:ser>
        <c:ser>
          <c:idx val="3"/>
          <c:order val="3"/>
          <c:tx>
            <c:strRef>
              <c:f>Sheet6!$A$5</c:f>
              <c:strCache>
                <c:ptCount val="1"/>
                <c:pt idx="0">
                  <c:v>2020 m.</c:v>
                </c:pt>
              </c:strCache>
            </c:strRef>
          </c:tx>
          <c:spPr>
            <a:solidFill>
              <a:schemeClr val="accent1">
                <a:lumMod val="7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Sheet6!$B$1:$I$1</c:f>
              <c:strCache>
                <c:ptCount val="8"/>
                <c:pt idx="0">
                  <c:v>Ugdymo kokybės ir modernios aplinkos užtikrinimo programa</c:v>
                </c:pt>
                <c:pt idx="1">
                  <c:v>Ekonominės ir projektinės veiklos programa</c:v>
                </c:pt>
                <c:pt idx="2">
                  <c:v>Teritorijų planavimo programa</c:v>
                </c:pt>
                <c:pt idx="3">
                  <c:v>Socialiai saugios ir sveikos aplinkos kūrimo programa</c:v>
                </c:pt>
                <c:pt idx="4">
                  <c:v>Savivaldybės aplinkos apsaugos  programa</c:v>
                </c:pt>
                <c:pt idx="5">
                  <c:v>Kultūros ir sporto programa</c:v>
                </c:pt>
                <c:pt idx="6">
                  <c:v>Savivaldybės veiklos valdymo programa</c:v>
                </c:pt>
                <c:pt idx="7">
                  <c:v>Infrastruktūros objektų priežiūros ir ūkinių subjektų rėmimo programa</c:v>
                </c:pt>
              </c:strCache>
            </c:strRef>
          </c:cat>
          <c:val>
            <c:numRef>
              <c:f>Sheet6!$B$5:$I$5</c:f>
              <c:numCache>
                <c:formatCode>General</c:formatCode>
                <c:ptCount val="8"/>
                <c:pt idx="0">
                  <c:v>17.3</c:v>
                </c:pt>
                <c:pt idx="1">
                  <c:v>10.7</c:v>
                </c:pt>
                <c:pt idx="2">
                  <c:v>0.2</c:v>
                </c:pt>
                <c:pt idx="3" formatCode="0.0">
                  <c:v>6</c:v>
                </c:pt>
                <c:pt idx="4">
                  <c:v>1.1000000000000001</c:v>
                </c:pt>
                <c:pt idx="5">
                  <c:v>2.5</c:v>
                </c:pt>
                <c:pt idx="6">
                  <c:v>8.1999999999999993</c:v>
                </c:pt>
                <c:pt idx="7">
                  <c:v>5.7</c:v>
                </c:pt>
              </c:numCache>
            </c:numRef>
          </c:val>
        </c:ser>
        <c:ser>
          <c:idx val="4"/>
          <c:order val="4"/>
          <c:tx>
            <c:strRef>
              <c:f>Sheet6!$A$6</c:f>
              <c:strCache>
                <c:ptCount val="1"/>
                <c:pt idx="0">
                  <c:v>2021 m.</c:v>
                </c:pt>
              </c:strCache>
            </c:strRef>
          </c:tx>
          <c:spPr>
            <a:solidFill>
              <a:schemeClr val="tx2">
                <a:lumMod val="20000"/>
                <a:lumOff val="8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Sheet6!$B$1:$I$1</c:f>
              <c:strCache>
                <c:ptCount val="8"/>
                <c:pt idx="0">
                  <c:v>Ugdymo kokybės ir modernios aplinkos užtikrinimo programa</c:v>
                </c:pt>
                <c:pt idx="1">
                  <c:v>Ekonominės ir projektinės veiklos programa</c:v>
                </c:pt>
                <c:pt idx="2">
                  <c:v>Teritorijų planavimo programa</c:v>
                </c:pt>
                <c:pt idx="3">
                  <c:v>Socialiai saugios ir sveikos aplinkos kūrimo programa</c:v>
                </c:pt>
                <c:pt idx="4">
                  <c:v>Savivaldybės aplinkos apsaugos  programa</c:v>
                </c:pt>
                <c:pt idx="5">
                  <c:v>Kultūros ir sporto programa</c:v>
                </c:pt>
                <c:pt idx="6">
                  <c:v>Savivaldybės veiklos valdymo programa</c:v>
                </c:pt>
                <c:pt idx="7">
                  <c:v>Infrastruktūros objektų priežiūros ir ūkinių subjektų rėmimo programa</c:v>
                </c:pt>
              </c:strCache>
            </c:strRef>
          </c:cat>
          <c:val>
            <c:numRef>
              <c:f>Sheet6!$B$6:$I$6</c:f>
              <c:numCache>
                <c:formatCode>General</c:formatCode>
                <c:ptCount val="8"/>
                <c:pt idx="0">
                  <c:v>19.2</c:v>
                </c:pt>
                <c:pt idx="1">
                  <c:v>10.8</c:v>
                </c:pt>
                <c:pt idx="2">
                  <c:v>0.2</c:v>
                </c:pt>
                <c:pt idx="3">
                  <c:v>7.7</c:v>
                </c:pt>
                <c:pt idx="4">
                  <c:v>1.3</c:v>
                </c:pt>
                <c:pt idx="5">
                  <c:v>2.8</c:v>
                </c:pt>
                <c:pt idx="6">
                  <c:v>12.8</c:v>
                </c:pt>
                <c:pt idx="7">
                  <c:v>2.9</c:v>
                </c:pt>
              </c:numCache>
            </c:numRef>
          </c:val>
        </c:ser>
        <c:dLbls>
          <c:showLegendKey val="0"/>
          <c:showVal val="0"/>
          <c:showCatName val="0"/>
          <c:showSerName val="0"/>
          <c:showPercent val="0"/>
          <c:showBubbleSize val="0"/>
        </c:dLbls>
        <c:gapWidth val="182"/>
        <c:axId val="99009024"/>
        <c:axId val="121881152"/>
      </c:barChart>
      <c:catAx>
        <c:axId val="99009024"/>
        <c:scaling>
          <c:orientation val="minMax"/>
        </c:scaling>
        <c:delete val="0"/>
        <c:axPos val="l"/>
        <c:numFmt formatCode="General" sourceLinked="1"/>
        <c:majorTickMark val="none"/>
        <c:minorTickMark val="none"/>
        <c:tickLblPos val="nextTo"/>
        <c:spPr>
          <a:noFill/>
          <a:ln w="9525" cap="flat" cmpd="sng" algn="ctr">
            <a:solidFill>
              <a:sysClr val="windowText" lastClr="000000"/>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121881152"/>
        <c:crosses val="autoZero"/>
        <c:auto val="1"/>
        <c:lblAlgn val="ctr"/>
        <c:lblOffset val="100"/>
        <c:noMultiLvlLbl val="0"/>
      </c:catAx>
      <c:valAx>
        <c:axId val="12188115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99009024"/>
        <c:crosses val="autoZero"/>
        <c:crossBetween val="between"/>
      </c:valAx>
      <c:spPr>
        <a:pattFill prst="dotDmnd">
          <a:fgClr>
            <a:schemeClr val="accent1"/>
          </a:fgClr>
          <a:bgClr>
            <a:schemeClr val="bg1"/>
          </a:bgClr>
        </a:pattFill>
        <a:ln>
          <a:solidFill>
            <a:schemeClr val="bg2">
              <a:lumMod val="50000"/>
            </a:schemeClr>
          </a:solidFill>
        </a:ln>
        <a:effectLst/>
      </c:spPr>
    </c:plotArea>
    <c:legend>
      <c:legendPos val="b"/>
      <c:legendEntry>
        <c:idx val="4"/>
        <c:delete val="1"/>
      </c:legendEntry>
      <c:overlay val="0"/>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legend>
    <c:plotVisOnly val="1"/>
    <c:dispBlanksAs val="gap"/>
    <c:showDLblsOverMax val="0"/>
  </c:chart>
  <c:spPr>
    <a:solidFill>
      <a:schemeClr val="bg1"/>
    </a:solidFill>
    <a:ln w="9525" cap="flat" cmpd="sng" algn="ctr">
      <a:noFill/>
      <a:round/>
    </a:ln>
    <a:effectLst/>
  </c:spPr>
  <c:txPr>
    <a:bodyPr/>
    <a:lstStyle/>
    <a:p>
      <a:pPr>
        <a:defRPr sz="1100">
          <a:solidFill>
            <a:sysClr val="windowText" lastClr="000000"/>
          </a:solidFill>
          <a:latin typeface="Times New Roman" panose="02020603050405020304" pitchFamily="18" charset="0"/>
          <a:cs typeface="Times New Roman" panose="02020603050405020304" pitchFamily="18" charset="0"/>
        </a:defRPr>
      </a:pPr>
      <a:endParaRPr lang="lt-LT"/>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view3D>
      <c:rotX val="15"/>
      <c:rotY val="20"/>
      <c:rAngAx val="1"/>
    </c:view3D>
    <c:floor>
      <c:thickness val="0"/>
      <c:spPr>
        <a:noFill/>
        <a:ln w="9525" cap="flat" cmpd="sng" algn="ctr">
          <a:solidFill>
            <a:schemeClr val="tx1">
              <a:tint val="75000"/>
              <a:shade val="95000"/>
              <a:satMod val="105000"/>
            </a:schemeClr>
          </a:solidFill>
          <a:prstDash val="solid"/>
          <a:round/>
        </a:ln>
        <a:effectLst/>
        <a:sp3d contourW="9525">
          <a:contourClr>
            <a:schemeClr val="tx1">
              <a:tint val="75000"/>
              <a:shade val="95000"/>
              <a:satMod val="105000"/>
            </a:schemeClr>
          </a:contourClr>
        </a:sp3d>
      </c:spPr>
    </c:floor>
    <c:sideWall>
      <c:thickness val="0"/>
      <c:spPr>
        <a:pattFill prst="pct5">
          <a:fgClr>
            <a:srgbClr val="000000">
              <a:alpha val="0"/>
            </a:srgbClr>
          </a:fgClr>
          <a:bgClr>
            <a:srgbClr val="FFFFFF"/>
          </a:bgClr>
        </a:pattFill>
        <a:ln w="25400">
          <a:noFill/>
        </a:ln>
        <a:effectLst/>
        <a:scene3d>
          <a:camera prst="orthographicFront"/>
          <a:lightRig rig="threePt" dir="t"/>
        </a:scene3d>
        <a:sp3d>
          <a:bevelT w="6350"/>
        </a:sp3d>
      </c:spPr>
    </c:sideWall>
    <c:backWall>
      <c:thickness val="0"/>
      <c:spPr>
        <a:pattFill prst="pct5">
          <a:fgClr>
            <a:srgbClr val="000000">
              <a:alpha val="0"/>
            </a:srgbClr>
          </a:fgClr>
          <a:bgClr>
            <a:srgbClr val="FFFFFF"/>
          </a:bgClr>
        </a:pattFill>
        <a:ln w="25400">
          <a:noFill/>
        </a:ln>
        <a:effectLst/>
        <a:scene3d>
          <a:camera prst="orthographicFront"/>
          <a:lightRig rig="threePt" dir="t"/>
        </a:scene3d>
        <a:sp3d>
          <a:bevelT w="6350"/>
        </a:sp3d>
      </c:spPr>
    </c:backWall>
    <c:plotArea>
      <c:layout>
        <c:manualLayout>
          <c:layoutTarget val="inner"/>
          <c:xMode val="edge"/>
          <c:yMode val="edge"/>
          <c:x val="0.1664718212306795"/>
          <c:y val="3.9894070014514442E-2"/>
          <c:w val="0.80806521580635748"/>
          <c:h val="0.79104581061851265"/>
        </c:manualLayout>
      </c:layout>
      <c:bar3DChart>
        <c:barDir val="col"/>
        <c:grouping val="stacked"/>
        <c:varyColors val="0"/>
        <c:ser>
          <c:idx val="0"/>
          <c:order val="0"/>
          <c:tx>
            <c:strRef>
              <c:f>Lapas1!$B$1</c:f>
              <c:strCache>
                <c:ptCount val="1"/>
                <c:pt idx="0">
                  <c:v>Stulpelis1</c:v>
                </c:pt>
              </c:strCache>
            </c:strRef>
          </c:tx>
          <c:spPr>
            <a:solidFill>
              <a:schemeClr val="accent3"/>
            </a:solidFill>
            <a:ln>
              <a:noFill/>
            </a:ln>
            <a:effectLst/>
            <a:sp3d/>
          </c:spPr>
          <c:invertIfNegative val="0"/>
          <c:dPt>
            <c:idx val="0"/>
            <c:invertIfNegative val="0"/>
            <c:bubble3D val="0"/>
          </c:dPt>
          <c:dPt>
            <c:idx val="1"/>
            <c:invertIfNegative val="0"/>
            <c:bubble3D val="0"/>
          </c:dPt>
          <c:dPt>
            <c:idx val="2"/>
            <c:invertIfNegative val="0"/>
            <c:bubble3D val="0"/>
          </c:dPt>
          <c:dPt>
            <c:idx val="3"/>
            <c:invertIfNegative val="0"/>
            <c:bubble3D val="0"/>
          </c:dPt>
          <c:dLbls>
            <c:dLbl>
              <c:idx val="0"/>
              <c:layout>
                <c:manualLayout>
                  <c:x val="1.3888888888888888E-2"/>
                  <c:y val="-0.20117183465274388"/>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0833333333333332E-2"/>
                  <c:y val="-0.22991701509009488"/>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6203703703703703E-2"/>
                  <c:y val="-0.24789354160918564"/>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1574074074074073E-2"/>
                  <c:y val="-0.28022016115910037"/>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2.3148148148148147E-2"/>
                  <c:y val="-0.32345013477088946"/>
                </c:manualLayout>
              </c:layout>
              <c:showLegendKey val="0"/>
              <c:showVal val="1"/>
              <c:showCatName val="0"/>
              <c:showSerName val="0"/>
              <c:showPercent val="0"/>
              <c:showBubbleSize val="0"/>
              <c:extLst>
                <c:ext xmlns:c15="http://schemas.microsoft.com/office/drawing/2012/chart" uri="{CE6537A1-D6FC-4f65-9D91-7224C49458BB}">
                  <c15:layout/>
                </c:ext>
              </c:extLst>
            </c:dLbl>
            <c:spPr>
              <a:solidFill>
                <a:srgbClr val="FFC000"/>
              </a:solid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solidFill>
                    <a:latin typeface="+mn-lt"/>
                    <a:ea typeface="+mn-ea"/>
                    <a:cs typeface="+mn-cs"/>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Lapas1!$A$2:$A$6</c:f>
              <c:numCache>
                <c:formatCode>General</c:formatCode>
                <c:ptCount val="5"/>
                <c:pt idx="0">
                  <c:v>2017</c:v>
                </c:pt>
                <c:pt idx="1">
                  <c:v>2018</c:v>
                </c:pt>
                <c:pt idx="2">
                  <c:v>2019</c:v>
                </c:pt>
                <c:pt idx="3">
                  <c:v>2020</c:v>
                </c:pt>
                <c:pt idx="4">
                  <c:v>2021</c:v>
                </c:pt>
              </c:numCache>
            </c:numRef>
          </c:cat>
          <c:val>
            <c:numRef>
              <c:f>Lapas1!$B$2:$B$6</c:f>
              <c:numCache>
                <c:formatCode>General</c:formatCode>
                <c:ptCount val="5"/>
                <c:pt idx="0">
                  <c:v>33.200000000000003</c:v>
                </c:pt>
                <c:pt idx="1">
                  <c:v>38.700000000000003</c:v>
                </c:pt>
                <c:pt idx="2">
                  <c:v>42.5</c:v>
                </c:pt>
                <c:pt idx="3">
                  <c:v>51.7</c:v>
                </c:pt>
                <c:pt idx="4">
                  <c:v>57.7</c:v>
                </c:pt>
              </c:numCache>
            </c:numRef>
          </c:val>
        </c:ser>
        <c:dLbls>
          <c:showLegendKey val="0"/>
          <c:showVal val="0"/>
          <c:showCatName val="0"/>
          <c:showSerName val="0"/>
          <c:showPercent val="0"/>
          <c:showBubbleSize val="0"/>
        </c:dLbls>
        <c:gapWidth val="150"/>
        <c:shape val="cone"/>
        <c:axId val="77195264"/>
        <c:axId val="121882880"/>
        <c:axId val="0"/>
      </c:bar3DChart>
      <c:catAx>
        <c:axId val="77195264"/>
        <c:scaling>
          <c:orientation val="minMax"/>
        </c:scaling>
        <c:delete val="0"/>
        <c:axPos val="b"/>
        <c:numFmt formatCode="General" sourceLinked="1"/>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lt-LT"/>
          </a:p>
        </c:txPr>
        <c:crossAx val="121882880"/>
        <c:crosses val="autoZero"/>
        <c:auto val="1"/>
        <c:lblAlgn val="ctr"/>
        <c:lblOffset val="100"/>
        <c:noMultiLvlLbl val="0"/>
      </c:catAx>
      <c:valAx>
        <c:axId val="121882880"/>
        <c:scaling>
          <c:orientation val="minMax"/>
        </c:scaling>
        <c:delete val="0"/>
        <c:axPos val="l"/>
        <c:majorGridlines>
          <c:spPr>
            <a:ln w="9525" cap="flat" cmpd="sng" algn="ctr">
              <a:solidFill>
                <a:schemeClr val="tx1">
                  <a:tint val="75000"/>
                  <a:shade val="95000"/>
                  <a:satMod val="105000"/>
                </a:schemeClr>
              </a:solidFill>
              <a:prstDash val="solid"/>
              <a:round/>
            </a:ln>
            <a:effectLst/>
          </c:spPr>
        </c:majorGridlines>
        <c:numFmt formatCode="General" sourceLinked="1"/>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lt-LT"/>
          </a:p>
        </c:txPr>
        <c:crossAx val="77195264"/>
        <c:crosses val="autoZero"/>
        <c:crossBetween val="between"/>
      </c:valAx>
      <c:spPr>
        <a:noFill/>
        <a:ln>
          <a:noFill/>
        </a:ln>
        <a:effectLst/>
      </c:spPr>
    </c:plotArea>
    <c:plotVisOnly val="1"/>
    <c:dispBlanksAs val="gap"/>
    <c:showDLblsOverMax val="0"/>
  </c:chart>
  <c:spPr>
    <a:solidFill>
      <a:schemeClr val="bg1"/>
    </a:solidFill>
    <a:ln w="9525" cap="flat" cmpd="sng" algn="ctr">
      <a:noFill/>
      <a:prstDash val="solid"/>
      <a:round/>
    </a:ln>
    <a:effectLst/>
  </c:spPr>
  <c:txPr>
    <a:bodyPr/>
    <a:lstStyle/>
    <a:p>
      <a:pPr>
        <a:defRPr/>
      </a:pPr>
      <a:endParaRPr lang="lt-LT"/>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hPercent val="243"/>
      <c:rotY val="20"/>
      <c:depthPercent val="100"/>
      <c:rAngAx val="1"/>
    </c:view3D>
    <c:floor>
      <c:thickness val="0"/>
    </c:floor>
    <c:sideWall>
      <c:thickness val="0"/>
      <c:spPr>
        <a:solidFill>
          <a:srgbClr val="EEECE1"/>
        </a:solidFill>
        <a:ln w="12700">
          <a:solidFill>
            <a:srgbClr val="808080"/>
          </a:solidFill>
          <a:prstDash val="solid"/>
        </a:ln>
      </c:spPr>
    </c:sideWall>
    <c:backWall>
      <c:thickness val="0"/>
      <c:spPr>
        <a:solidFill>
          <a:srgbClr val="EEECE1"/>
        </a:solidFill>
        <a:ln w="12700">
          <a:solidFill>
            <a:srgbClr val="808080"/>
          </a:solidFill>
          <a:prstDash val="solid"/>
        </a:ln>
      </c:spPr>
    </c:backWall>
    <c:plotArea>
      <c:layout>
        <c:manualLayout>
          <c:layoutTarget val="inner"/>
          <c:xMode val="edge"/>
          <c:yMode val="edge"/>
          <c:x val="0.11484339220148364"/>
          <c:y val="4.9629585775462275E-2"/>
          <c:w val="0.82527620599149243"/>
          <c:h val="0.65970149253731347"/>
        </c:manualLayout>
      </c:layout>
      <c:bar3DChart>
        <c:barDir val="bar"/>
        <c:grouping val="stacked"/>
        <c:varyColors val="0"/>
        <c:ser>
          <c:idx val="0"/>
          <c:order val="0"/>
          <c:tx>
            <c:strRef>
              <c:f>Sheet3!$A$2</c:f>
              <c:strCache>
                <c:ptCount val="1"/>
                <c:pt idx="0">
                  <c:v>Darbo užmokestis su soc. draudimo įmokomis</c:v>
                </c:pt>
              </c:strCache>
            </c:strRef>
          </c:tx>
          <c:spPr>
            <a:solidFill>
              <a:schemeClr val="accent3">
                <a:lumMod val="75000"/>
              </a:schemeClr>
            </a:solidFill>
            <a:ln>
              <a:solidFill>
                <a:schemeClr val="accent2">
                  <a:lumMod val="60000"/>
                  <a:lumOff val="40000"/>
                </a:schemeClr>
              </a:solidFill>
            </a:ln>
          </c:spPr>
          <c:invertIfNegative val="0"/>
          <c:dLbls>
            <c:dLbl>
              <c:idx val="0"/>
              <c:layout>
                <c:manualLayout>
                  <c:x val="2.7137042062415163E-2"/>
                  <c:y val="-3.3416875522138678E-2"/>
                </c:manualLayout>
              </c:layout>
              <c:spPr>
                <a:solidFill>
                  <a:schemeClr val="accent3">
                    <a:lumMod val="40000"/>
                    <a:lumOff val="60000"/>
                  </a:schemeClr>
                </a:solidFill>
                <a:ln w="25400">
                  <a:noFill/>
                </a:ln>
              </c:spPr>
              <c:txPr>
                <a:bodyPr/>
                <a:lstStyle/>
                <a:p>
                  <a:pPr>
                    <a:defRPr/>
                  </a:pPr>
                  <a:endParaRPr lang="lt-LT"/>
                </a:p>
              </c:txP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6282225237449117E-2"/>
                  <c:y val="-3.3416875522138741E-2"/>
                </c:manualLayout>
              </c:layout>
              <c:spPr>
                <a:solidFill>
                  <a:schemeClr val="accent3">
                    <a:lumMod val="40000"/>
                    <a:lumOff val="60000"/>
                  </a:schemeClr>
                </a:solidFill>
                <a:ln w="25400">
                  <a:noFill/>
                </a:ln>
              </c:spPr>
              <c:txPr>
                <a:bodyPr/>
                <a:lstStyle/>
                <a:p>
                  <a:pPr>
                    <a:defRPr/>
                  </a:pPr>
                  <a:endParaRPr lang="lt-LT"/>
                </a:p>
              </c:txP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1709633649932124E-2"/>
                  <c:y val="-4.0100250626566414E-2"/>
                </c:manualLayout>
              </c:layout>
              <c:spPr>
                <a:solidFill>
                  <a:schemeClr val="accent3">
                    <a:lumMod val="40000"/>
                    <a:lumOff val="60000"/>
                  </a:schemeClr>
                </a:solidFill>
                <a:ln w="25400">
                  <a:noFill/>
                </a:ln>
              </c:spPr>
              <c:txPr>
                <a:bodyPr/>
                <a:lstStyle/>
                <a:p>
                  <a:pPr>
                    <a:defRPr/>
                  </a:pPr>
                  <a:endParaRPr lang="lt-LT"/>
                </a:p>
              </c:txP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2.1709633649932124E-2"/>
                  <c:y val="-4.3441938178780282E-2"/>
                </c:manualLayout>
              </c:layout>
              <c:spPr>
                <a:solidFill>
                  <a:schemeClr val="accent3">
                    <a:lumMod val="40000"/>
                    <a:lumOff val="60000"/>
                  </a:schemeClr>
                </a:solidFill>
                <a:ln w="25400">
                  <a:noFill/>
                </a:ln>
              </c:spPr>
              <c:txPr>
                <a:bodyPr/>
                <a:lstStyle/>
                <a:p>
                  <a:pPr>
                    <a:defRPr/>
                  </a:pPr>
                  <a:endParaRPr lang="lt-LT"/>
                </a:p>
              </c:txP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3.316711270474679E-17"/>
                  <c:y val="-3.6758563074352546E-2"/>
                </c:manualLayout>
              </c:layout>
              <c:spPr>
                <a:solidFill>
                  <a:schemeClr val="accent3">
                    <a:lumMod val="40000"/>
                    <a:lumOff val="60000"/>
                  </a:schemeClr>
                </a:solidFill>
                <a:ln w="25400">
                  <a:noFill/>
                </a:ln>
              </c:spPr>
              <c:txPr>
                <a:bodyPr/>
                <a:lstStyle/>
                <a:p>
                  <a:pPr>
                    <a:defRPr/>
                  </a:pPr>
                  <a:endParaRPr lang="lt-LT"/>
                </a:p>
              </c:txPr>
              <c:showLegendKey val="0"/>
              <c:showVal val="1"/>
              <c:showCatName val="0"/>
              <c:showSerName val="0"/>
              <c:showPercent val="0"/>
              <c:showBubbleSize val="0"/>
              <c:extLst>
                <c:ext xmlns:c15="http://schemas.microsoft.com/office/drawing/2012/chart" uri="{CE6537A1-D6FC-4f65-9D91-7224C49458BB}"/>
              </c:extLst>
            </c:dLbl>
            <c:spPr>
              <a:solidFill>
                <a:schemeClr val="accent3">
                  <a:lumMod val="40000"/>
                  <a:lumOff val="60000"/>
                </a:schemeClr>
              </a:solidFill>
              <a:ln w="25400">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Sheet3!$B$1:$E$1</c:f>
              <c:numCache>
                <c:formatCode>General</c:formatCode>
                <c:ptCount val="4"/>
                <c:pt idx="0">
                  <c:v>2018</c:v>
                </c:pt>
                <c:pt idx="1">
                  <c:v>2019</c:v>
                </c:pt>
                <c:pt idx="2">
                  <c:v>2020</c:v>
                </c:pt>
                <c:pt idx="3">
                  <c:v>2021</c:v>
                </c:pt>
              </c:numCache>
            </c:numRef>
          </c:cat>
          <c:val>
            <c:numRef>
              <c:f>Sheet3!$B$2:$E$2</c:f>
              <c:numCache>
                <c:formatCode>General</c:formatCode>
                <c:ptCount val="4"/>
                <c:pt idx="0" formatCode="0.0">
                  <c:v>19</c:v>
                </c:pt>
                <c:pt idx="1">
                  <c:v>20.8</c:v>
                </c:pt>
                <c:pt idx="2">
                  <c:v>23.3</c:v>
                </c:pt>
                <c:pt idx="3">
                  <c:v>25.3</c:v>
                </c:pt>
              </c:numCache>
            </c:numRef>
          </c:val>
        </c:ser>
        <c:ser>
          <c:idx val="1"/>
          <c:order val="1"/>
          <c:tx>
            <c:strRef>
              <c:f>Sheet3!$A$3</c:f>
              <c:strCache>
                <c:ptCount val="1"/>
                <c:pt idx="0">
                  <c:v>Turto įsigijimas</c:v>
                </c:pt>
              </c:strCache>
            </c:strRef>
          </c:tx>
          <c:spPr>
            <a:solidFill>
              <a:srgbClr val="FFC000"/>
            </a:solidFill>
            <a:ln w="12700">
              <a:solidFill>
                <a:srgbClr val="000000"/>
              </a:solidFill>
              <a:prstDash val="solid"/>
            </a:ln>
          </c:spPr>
          <c:invertIfNegative val="0"/>
          <c:dLbls>
            <c:dLbl>
              <c:idx val="0"/>
              <c:layout>
                <c:manualLayout>
                  <c:x val="2.2113911473413177E-2"/>
                  <c:y val="-2.9586301712285965E-2"/>
                </c:manualLayout>
              </c:layout>
              <c:spPr>
                <a:solidFill>
                  <a:srgbClr val="FFC000"/>
                </a:solidFill>
                <a:ln w="3175">
                  <a:solidFill>
                    <a:srgbClr val="FFFF00"/>
                  </a:solidFill>
                  <a:prstDash val="solid"/>
                </a:ln>
              </c:spPr>
              <c:txPr>
                <a:bodyPr/>
                <a:lstStyle/>
                <a:p>
                  <a:pPr>
                    <a:defRPr/>
                  </a:pPr>
                  <a:endParaRPr lang="lt-LT"/>
                </a:p>
              </c:txP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2661744961662698E-3"/>
                  <c:y val="-3.341713864714279E-2"/>
                </c:manualLayout>
              </c:layout>
              <c:spPr>
                <a:solidFill>
                  <a:srgbClr val="FFC000"/>
                </a:solidFill>
                <a:ln w="3175">
                  <a:solidFill>
                    <a:srgbClr val="FFFF00"/>
                  </a:solidFill>
                  <a:prstDash val="solid"/>
                </a:ln>
              </c:spPr>
              <c:txPr>
                <a:bodyPr/>
                <a:lstStyle/>
                <a:p>
                  <a:pPr>
                    <a:defRPr/>
                  </a:pPr>
                  <a:endParaRPr lang="lt-LT"/>
                </a:p>
              </c:txP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08622243115133E-2"/>
                  <c:y val="-3.3416875522138678E-2"/>
                </c:manualLayout>
              </c:layout>
              <c:spPr>
                <a:solidFill>
                  <a:srgbClr val="FFC000"/>
                </a:solidFill>
                <a:ln w="3175">
                  <a:solidFill>
                    <a:srgbClr val="FFFF00"/>
                  </a:solidFill>
                  <a:prstDash val="solid"/>
                </a:ln>
              </c:spPr>
              <c:txPr>
                <a:bodyPr/>
                <a:lstStyle/>
                <a:p>
                  <a:pPr>
                    <a:defRPr/>
                  </a:pPr>
                  <a:endParaRPr lang="lt-LT"/>
                </a:p>
              </c:txP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2119645152904056E-2"/>
                  <c:y val="-3.842493372538959E-2"/>
                </c:manualLayout>
              </c:layout>
              <c:spPr>
                <a:solidFill>
                  <a:srgbClr val="FFC000"/>
                </a:solidFill>
                <a:ln w="3175">
                  <a:solidFill>
                    <a:srgbClr val="FFFF00"/>
                  </a:solidFill>
                  <a:prstDash val="solid"/>
                </a:ln>
              </c:spPr>
              <c:txPr>
                <a:bodyPr/>
                <a:lstStyle/>
                <a:p>
                  <a:pPr>
                    <a:defRPr/>
                  </a:pPr>
                  <a:endParaRPr lang="lt-LT"/>
                </a:p>
              </c:txP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2.3048536843342342E-2"/>
                  <c:y val="-4.0780165637190086E-2"/>
                </c:manualLayout>
              </c:layout>
              <c:spPr>
                <a:solidFill>
                  <a:srgbClr val="FFC000"/>
                </a:solidFill>
                <a:ln w="3175">
                  <a:solidFill>
                    <a:srgbClr val="FFFF00"/>
                  </a:solidFill>
                  <a:prstDash val="solid"/>
                </a:ln>
              </c:spPr>
              <c:txPr>
                <a:bodyPr/>
                <a:lstStyle/>
                <a:p>
                  <a:pPr>
                    <a:defRPr/>
                  </a:pPr>
                  <a:endParaRPr lang="lt-LT"/>
                </a:p>
              </c:txPr>
              <c:showLegendKey val="0"/>
              <c:showVal val="1"/>
              <c:showCatName val="0"/>
              <c:showSerName val="0"/>
              <c:showPercent val="0"/>
              <c:showBubbleSize val="0"/>
              <c:extLst>
                <c:ext xmlns:c15="http://schemas.microsoft.com/office/drawing/2012/chart" uri="{CE6537A1-D6FC-4f65-9D91-7224C49458BB}"/>
              </c:extLst>
            </c:dLbl>
            <c:spPr>
              <a:solidFill>
                <a:srgbClr val="FFC000"/>
              </a:solidFill>
              <a:ln w="3175">
                <a:solidFill>
                  <a:srgbClr val="FFFF00"/>
                </a:solidFill>
                <a:prstDash val="solid"/>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Sheet3!$B$1:$E$1</c:f>
              <c:numCache>
                <c:formatCode>General</c:formatCode>
                <c:ptCount val="4"/>
                <c:pt idx="0">
                  <c:v>2018</c:v>
                </c:pt>
                <c:pt idx="1">
                  <c:v>2019</c:v>
                </c:pt>
                <c:pt idx="2">
                  <c:v>2020</c:v>
                </c:pt>
                <c:pt idx="3">
                  <c:v>2021</c:v>
                </c:pt>
              </c:numCache>
            </c:numRef>
          </c:cat>
          <c:val>
            <c:numRef>
              <c:f>Sheet3!$B$3:$E$3</c:f>
              <c:numCache>
                <c:formatCode>General</c:formatCode>
                <c:ptCount val="4"/>
                <c:pt idx="0" formatCode="0.0">
                  <c:v>8.5</c:v>
                </c:pt>
                <c:pt idx="1">
                  <c:v>9.6999999999999993</c:v>
                </c:pt>
                <c:pt idx="2">
                  <c:v>13.9</c:v>
                </c:pt>
                <c:pt idx="3">
                  <c:v>12.8</c:v>
                </c:pt>
              </c:numCache>
            </c:numRef>
          </c:val>
        </c:ser>
        <c:ser>
          <c:idx val="2"/>
          <c:order val="2"/>
          <c:tx>
            <c:strRef>
              <c:f>Sheet3!$A$4</c:f>
              <c:strCache>
                <c:ptCount val="1"/>
                <c:pt idx="0">
                  <c:v>Kitos išlaidos</c:v>
                </c:pt>
              </c:strCache>
            </c:strRef>
          </c:tx>
          <c:spPr>
            <a:solidFill>
              <a:schemeClr val="bg1">
                <a:lumMod val="85000"/>
              </a:schemeClr>
            </a:solidFill>
            <a:ln w="12700">
              <a:solidFill>
                <a:srgbClr val="000000"/>
              </a:solidFill>
              <a:prstDash val="solid"/>
            </a:ln>
          </c:spPr>
          <c:invertIfNegative val="0"/>
          <c:dLbls>
            <c:dLbl>
              <c:idx val="0"/>
              <c:layout>
                <c:manualLayout>
                  <c:x val="1.2764951192498562E-2"/>
                  <c:y val="-3.4055479907116874E-2"/>
                </c:manualLayout>
              </c:layout>
              <c:spPr>
                <a:solidFill>
                  <a:schemeClr val="bg1">
                    <a:lumMod val="75000"/>
                  </a:schemeClr>
                </a:solidFill>
                <a:ln w="25400">
                  <a:noFill/>
                </a:ln>
              </c:spPr>
              <c:txPr>
                <a:bodyPr/>
                <a:lstStyle/>
                <a:p>
                  <a:pPr>
                    <a:defRPr/>
                  </a:pPr>
                  <a:endParaRPr lang="lt-LT"/>
                </a:p>
              </c:txP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4274084124830389E-3"/>
                  <c:y val="-3.4693821167090959E-2"/>
                </c:manualLayout>
              </c:layout>
              <c:spPr>
                <a:solidFill>
                  <a:schemeClr val="bg1">
                    <a:lumMod val="75000"/>
                  </a:schemeClr>
                </a:solidFill>
                <a:ln w="25400">
                  <a:noFill/>
                </a:ln>
              </c:spPr>
              <c:txPr>
                <a:bodyPr/>
                <a:lstStyle/>
                <a:p>
                  <a:pPr>
                    <a:defRPr/>
                  </a:pPr>
                  <a:endParaRPr lang="lt-LT"/>
                </a:p>
              </c:txP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2663952962460425E-2"/>
                  <c:y val="-4.8698912635920508E-2"/>
                </c:manualLayout>
              </c:layout>
              <c:spPr>
                <a:solidFill>
                  <a:schemeClr val="bg1">
                    <a:lumMod val="75000"/>
                  </a:schemeClr>
                </a:solidFill>
                <a:ln w="25400">
                  <a:noFill/>
                </a:ln>
              </c:spPr>
              <c:txPr>
                <a:bodyPr/>
                <a:lstStyle/>
                <a:p>
                  <a:pPr>
                    <a:defRPr/>
                  </a:pPr>
                  <a:endParaRPr lang="lt-LT"/>
                </a:p>
              </c:txP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2867730068341185E-2"/>
                  <c:y val="-3.8035508719304827E-2"/>
                </c:manualLayout>
              </c:layout>
              <c:spPr>
                <a:solidFill>
                  <a:schemeClr val="bg1">
                    <a:lumMod val="75000"/>
                  </a:schemeClr>
                </a:solidFill>
                <a:ln w="25400">
                  <a:noFill/>
                </a:ln>
              </c:spPr>
              <c:txPr>
                <a:bodyPr/>
                <a:lstStyle/>
                <a:p>
                  <a:pPr>
                    <a:defRPr/>
                  </a:pPr>
                  <a:endParaRPr lang="lt-LT"/>
                </a:p>
              </c:txP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1.6282225237449117E-2"/>
                  <c:y val="-3.8673849979278904E-2"/>
                </c:manualLayout>
              </c:layout>
              <c:spPr>
                <a:solidFill>
                  <a:schemeClr val="bg1">
                    <a:lumMod val="75000"/>
                  </a:schemeClr>
                </a:solidFill>
                <a:ln w="25400">
                  <a:noFill/>
                </a:ln>
              </c:spPr>
              <c:txPr>
                <a:bodyPr/>
                <a:lstStyle/>
                <a:p>
                  <a:pPr>
                    <a:defRPr/>
                  </a:pPr>
                  <a:endParaRPr lang="lt-LT"/>
                </a:p>
              </c:txPr>
              <c:showLegendKey val="0"/>
              <c:showVal val="1"/>
              <c:showCatName val="0"/>
              <c:showSerName val="0"/>
              <c:showPercent val="0"/>
              <c:showBubbleSize val="0"/>
              <c:extLst>
                <c:ext xmlns:c15="http://schemas.microsoft.com/office/drawing/2012/chart" uri="{CE6537A1-D6FC-4f65-9D91-7224C49458BB}"/>
              </c:extLst>
            </c:dLbl>
            <c:spPr>
              <a:solidFill>
                <a:schemeClr val="bg1">
                  <a:lumMod val="75000"/>
                </a:schemeClr>
              </a:solidFill>
              <a:ln w="25400">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Sheet3!$B$1:$E$1</c:f>
              <c:numCache>
                <c:formatCode>General</c:formatCode>
                <c:ptCount val="4"/>
                <c:pt idx="0">
                  <c:v>2018</c:v>
                </c:pt>
                <c:pt idx="1">
                  <c:v>2019</c:v>
                </c:pt>
                <c:pt idx="2">
                  <c:v>2020</c:v>
                </c:pt>
                <c:pt idx="3">
                  <c:v>2021</c:v>
                </c:pt>
              </c:numCache>
            </c:numRef>
          </c:cat>
          <c:val>
            <c:numRef>
              <c:f>Sheet3!$B$4:$E$4</c:f>
              <c:numCache>
                <c:formatCode>General</c:formatCode>
                <c:ptCount val="4"/>
                <c:pt idx="0">
                  <c:v>10.199999999999999</c:v>
                </c:pt>
                <c:pt idx="1">
                  <c:v>10.9</c:v>
                </c:pt>
                <c:pt idx="2">
                  <c:v>13.3</c:v>
                </c:pt>
                <c:pt idx="3">
                  <c:v>14.3</c:v>
                </c:pt>
              </c:numCache>
            </c:numRef>
          </c:val>
        </c:ser>
        <c:dLbls>
          <c:showLegendKey val="0"/>
          <c:showVal val="0"/>
          <c:showCatName val="0"/>
          <c:showSerName val="0"/>
          <c:showPercent val="0"/>
          <c:showBubbleSize val="0"/>
        </c:dLbls>
        <c:gapWidth val="150"/>
        <c:shape val="cylinder"/>
        <c:axId val="119539712"/>
        <c:axId val="121885760"/>
        <c:axId val="0"/>
      </c:bar3DChart>
      <c:catAx>
        <c:axId val="119539712"/>
        <c:scaling>
          <c:orientation val="minMax"/>
        </c:scaling>
        <c:delete val="0"/>
        <c:axPos val="l"/>
        <c:title>
          <c:tx>
            <c:rich>
              <a:bodyPr rot="-5400000" vert="horz"/>
              <a:lstStyle/>
              <a:p>
                <a:pPr>
                  <a:defRPr/>
                </a:pPr>
                <a:r>
                  <a:rPr lang="lt-LT"/>
                  <a:t>metai</a:t>
                </a:r>
              </a:p>
            </c:rich>
          </c:tx>
          <c:layout>
            <c:manualLayout>
              <c:xMode val="edge"/>
              <c:yMode val="edge"/>
              <c:x val="4.5931758530183726E-4"/>
              <c:y val="0.37014899453357802"/>
            </c:manualLayout>
          </c:layout>
          <c:overlay val="0"/>
          <c:spPr>
            <a:noFill/>
            <a:ln w="25400">
              <a:noFill/>
            </a:ln>
          </c:spPr>
        </c:title>
        <c:numFmt formatCode="General" sourceLinked="1"/>
        <c:majorTickMark val="out"/>
        <c:minorTickMark val="none"/>
        <c:tickLblPos val="low"/>
        <c:spPr>
          <a:ln w="3175">
            <a:solidFill>
              <a:srgbClr val="000000"/>
            </a:solidFill>
            <a:prstDash val="solid"/>
          </a:ln>
        </c:spPr>
        <c:txPr>
          <a:bodyPr rot="0" vert="horz"/>
          <a:lstStyle/>
          <a:p>
            <a:pPr>
              <a:defRPr/>
            </a:pPr>
            <a:endParaRPr lang="lt-LT"/>
          </a:p>
        </c:txPr>
        <c:crossAx val="121885760"/>
        <c:crosses val="autoZero"/>
        <c:auto val="1"/>
        <c:lblAlgn val="ctr"/>
        <c:lblOffset val="100"/>
        <c:tickLblSkip val="1"/>
        <c:tickMarkSkip val="1"/>
        <c:noMultiLvlLbl val="0"/>
      </c:catAx>
      <c:valAx>
        <c:axId val="121885760"/>
        <c:scaling>
          <c:orientation val="minMax"/>
        </c:scaling>
        <c:delete val="0"/>
        <c:axPos val="b"/>
        <c:majorGridlines>
          <c:spPr>
            <a:ln w="3175">
              <a:solidFill>
                <a:srgbClr val="000000"/>
              </a:solidFill>
              <a:prstDash val="solid"/>
            </a:ln>
          </c:spPr>
        </c:majorGridlines>
        <c:title>
          <c:tx>
            <c:rich>
              <a:bodyPr/>
              <a:lstStyle/>
              <a:p>
                <a:pPr>
                  <a:defRPr/>
                </a:pPr>
                <a:r>
                  <a:rPr lang="lt-LT"/>
                  <a:t>mln. eurų</a:t>
                </a:r>
              </a:p>
            </c:rich>
          </c:tx>
          <c:layout>
            <c:manualLayout>
              <c:xMode val="edge"/>
              <c:yMode val="edge"/>
              <c:x val="0.44159143839414439"/>
              <c:y val="0.71503114742236173"/>
            </c:manualLayout>
          </c:layout>
          <c:overlay val="0"/>
          <c:spPr>
            <a:noFill/>
            <a:ln w="25400">
              <a:noFill/>
            </a:ln>
          </c:spPr>
        </c:title>
        <c:numFmt formatCode="0.0" sourceLinked="1"/>
        <c:majorTickMark val="out"/>
        <c:minorTickMark val="none"/>
        <c:tickLblPos val="nextTo"/>
        <c:spPr>
          <a:ln w="3175">
            <a:solidFill>
              <a:srgbClr val="000000"/>
            </a:solidFill>
            <a:prstDash val="solid"/>
          </a:ln>
        </c:spPr>
        <c:txPr>
          <a:bodyPr rot="0" vert="horz"/>
          <a:lstStyle/>
          <a:p>
            <a:pPr>
              <a:defRPr/>
            </a:pPr>
            <a:endParaRPr lang="lt-LT"/>
          </a:p>
        </c:txPr>
        <c:crossAx val="119539712"/>
        <c:crosses val="autoZero"/>
        <c:crossBetween val="between"/>
      </c:valAx>
      <c:spPr>
        <a:noFill/>
        <a:ln w="25400">
          <a:noFill/>
        </a:ln>
      </c:spPr>
    </c:plotArea>
    <c:legend>
      <c:legendPos val="r"/>
      <c:layout>
        <c:manualLayout>
          <c:xMode val="edge"/>
          <c:yMode val="edge"/>
          <c:x val="0.15193578795608295"/>
          <c:y val="0.83631756556746195"/>
          <c:w val="0.65197737606742823"/>
          <c:h val="0.13694893401482711"/>
        </c:manualLayout>
      </c:layout>
      <c:overlay val="0"/>
      <c:spPr>
        <a:solidFill>
          <a:srgbClr val="FFFFFF"/>
        </a:solidFill>
        <a:ln w="3175">
          <a:solidFill>
            <a:srgbClr val="000000"/>
          </a:solidFill>
          <a:prstDash val="solid"/>
        </a:ln>
      </c:spPr>
    </c:legend>
    <c:plotVisOnly val="1"/>
    <c:dispBlanksAs val="gap"/>
    <c:showDLblsOverMax val="0"/>
  </c:chart>
  <c:spPr>
    <a:noFill/>
    <a:ln w="9525">
      <a:noFill/>
    </a:ln>
  </c:spPr>
  <c:txPr>
    <a:bodyPr/>
    <a:lstStyle/>
    <a:p>
      <a:pPr>
        <a:defRPr sz="1200" b="0" i="0" u="none" strike="noStrike" baseline="0">
          <a:solidFill>
            <a:srgbClr val="000000"/>
          </a:solidFill>
          <a:latin typeface="Times New Roman" panose="02020603050405020304" pitchFamily="18" charset="0"/>
          <a:ea typeface="Arial"/>
          <a:cs typeface="Times New Roman" panose="02020603050405020304" pitchFamily="18" charset="0"/>
        </a:defRPr>
      </a:pPr>
      <a:endParaRPr lang="lt-LT"/>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9.9255583126550868E-3"/>
          <c:y val="1.6149154825034626E-2"/>
          <c:w val="0.63136033554118387"/>
          <c:h val="0.97632058627417262"/>
        </c:manualLayout>
      </c:layout>
      <c:pie3DChart>
        <c:varyColors val="1"/>
        <c:ser>
          <c:idx val="0"/>
          <c:order val="0"/>
          <c:explosion val="25"/>
          <c:dPt>
            <c:idx val="0"/>
            <c:bubble3D val="0"/>
            <c:spPr>
              <a:solidFill>
                <a:schemeClr val="tx2">
                  <a:lumMod val="20000"/>
                  <a:lumOff val="80000"/>
                </a:schemeClr>
              </a:solidFill>
            </c:spPr>
          </c:dPt>
          <c:dPt>
            <c:idx val="1"/>
            <c:bubble3D val="0"/>
            <c:spPr>
              <a:solidFill>
                <a:schemeClr val="accent2"/>
              </a:solidFill>
            </c:spPr>
          </c:dPt>
          <c:dPt>
            <c:idx val="2"/>
            <c:bubble3D val="0"/>
            <c:spPr>
              <a:solidFill>
                <a:schemeClr val="accent3">
                  <a:lumMod val="75000"/>
                </a:schemeClr>
              </a:solidFill>
            </c:spPr>
          </c:dPt>
          <c:dPt>
            <c:idx val="3"/>
            <c:bubble3D val="0"/>
            <c:spPr>
              <a:solidFill>
                <a:schemeClr val="accent2">
                  <a:lumMod val="40000"/>
                  <a:lumOff val="60000"/>
                </a:schemeClr>
              </a:solidFill>
            </c:spPr>
          </c:dPt>
          <c:dPt>
            <c:idx val="4"/>
            <c:bubble3D val="0"/>
          </c:dPt>
          <c:dPt>
            <c:idx val="5"/>
            <c:bubble3D val="0"/>
          </c:dPt>
          <c:dPt>
            <c:idx val="6"/>
            <c:bubble3D val="0"/>
          </c:dPt>
          <c:dPt>
            <c:idx val="7"/>
            <c:bubble3D val="0"/>
            <c:spPr>
              <a:solidFill>
                <a:schemeClr val="accent1">
                  <a:lumMod val="75000"/>
                </a:schemeClr>
              </a:solidFill>
            </c:spPr>
          </c:dPt>
          <c:dPt>
            <c:idx val="8"/>
            <c:bubble3D val="0"/>
            <c:spPr>
              <a:solidFill>
                <a:schemeClr val="bg2">
                  <a:lumMod val="75000"/>
                </a:schemeClr>
              </a:solidFill>
            </c:spPr>
          </c:dPt>
          <c:dPt>
            <c:idx val="9"/>
            <c:bubble3D val="0"/>
            <c:spPr>
              <a:solidFill>
                <a:schemeClr val="accent3"/>
              </a:solidFill>
            </c:spPr>
          </c:dPt>
          <c:dPt>
            <c:idx val="10"/>
            <c:bubble3D val="0"/>
            <c:spPr>
              <a:solidFill>
                <a:srgbClr val="FFC000"/>
              </a:solidFill>
            </c:spPr>
          </c:dPt>
          <c:dLbls>
            <c:dLbl>
              <c:idx val="0"/>
              <c:layout>
                <c:manualLayout>
                  <c:x val="-2.6395863048136351E-2"/>
                  <c:y val="9.583494473880386E-3"/>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4846655334336311E-3"/>
                  <c:y val="-5.6499306489856141E-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6883934793510613E-2"/>
                  <c:y val="-8.4084374542308556E-3"/>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9073093530802447E-2"/>
                  <c:y val="1.4172767051144059E-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3.1952417238167809E-2"/>
                  <c:y val="-5.9010573829714065E-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7027217131357336E-3"/>
                  <c:y val="2.0320773119568251E-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8.1199403424447869E-3"/>
                  <c:y val="2.2033619976030552E-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9.4115654897976471E-3"/>
                  <c:y val="1.2555879494655005E-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2.9058960682023929E-2"/>
                  <c:y val="-0.11161696624656611"/>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0.12365591397849462"/>
                  <c:y val="1.0373038517169255E-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4.7126863484496197E-4"/>
                  <c:y val="1.3823218961422839E-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solidFill>
                <a:schemeClr val="accent6">
                  <a:lumMod val="40000"/>
                  <a:lumOff val="60000"/>
                </a:schemeClr>
              </a:solidFill>
            </c:spPr>
            <c:txPr>
              <a:bodyPr/>
              <a:lstStyle/>
              <a:p>
                <a:pPr>
                  <a:defRPr sz="1100">
                    <a:latin typeface="Times New Roman" panose="02020603050405020304" pitchFamily="18" charset="0"/>
                    <a:cs typeface="Times New Roman" panose="02020603050405020304" pitchFamily="18" charset="0"/>
                  </a:defRPr>
                </a:pPr>
                <a:endParaRPr lang="lt-LT"/>
              </a:p>
            </c:txPr>
            <c:showLegendKey val="0"/>
            <c:showVal val="1"/>
            <c:showCatName val="0"/>
            <c:showSerName val="0"/>
            <c:showPercent val="0"/>
            <c:showBubbleSize val="0"/>
            <c:showLeaderLines val="1"/>
            <c:extLst>
              <c:ext xmlns:c15="http://schemas.microsoft.com/office/drawing/2012/chart" uri="{CE6537A1-D6FC-4f65-9D91-7224C49458BB}"/>
            </c:extLst>
          </c:dLbls>
          <c:cat>
            <c:strRef>
              <c:f>Sheet2!$A$1:$A$11</c:f>
              <c:strCache>
                <c:ptCount val="11"/>
                <c:pt idx="0">
                  <c:v>Bendros valstybės paslaugos -8.4</c:v>
                </c:pt>
                <c:pt idx="1">
                  <c:v>Gynyba - 0,1</c:v>
                </c:pt>
                <c:pt idx="2">
                  <c:v>Viešoji tvarka ir visuom. apsauga - 1,3</c:v>
                </c:pt>
                <c:pt idx="3">
                  <c:v>Ekonomika -10.6</c:v>
                </c:pt>
                <c:pt idx="4">
                  <c:v>Socialinė apsauga -11.1</c:v>
                </c:pt>
                <c:pt idx="5">
                  <c:v>Aplinkos apsauga -2.9</c:v>
                </c:pt>
                <c:pt idx="6">
                  <c:v>Būstas ir komunalinis ūkis - 4.0</c:v>
                </c:pt>
                <c:pt idx="7">
                  <c:v>Sveikatos apsauga - 2.1</c:v>
                </c:pt>
                <c:pt idx="8">
                  <c:v>Poilsis, kultūra ir religija - 16.1</c:v>
                </c:pt>
                <c:pt idx="9">
                  <c:v>Švietimas -34.4</c:v>
                </c:pt>
                <c:pt idx="10">
                  <c:v>Finansinių įsipareigojimų vykdymo išlaidos (grąžintos paskolos) - 9.2</c:v>
                </c:pt>
              </c:strCache>
            </c:strRef>
          </c:cat>
          <c:val>
            <c:numRef>
              <c:f>Sheet2!$C$1:$C$11</c:f>
              <c:numCache>
                <c:formatCode>0.0</c:formatCode>
                <c:ptCount val="11"/>
                <c:pt idx="0">
                  <c:v>8.3516860830087651</c:v>
                </c:pt>
                <c:pt idx="1">
                  <c:v>5.7225896625753038E-2</c:v>
                </c:pt>
                <c:pt idx="2">
                  <c:v>1.3477565714404625</c:v>
                </c:pt>
                <c:pt idx="3">
                  <c:v>10.551068043325206</c:v>
                </c:pt>
                <c:pt idx="4">
                  <c:v>11.117777831728118</c:v>
                </c:pt>
                <c:pt idx="5">
                  <c:v>2.9018731943495495</c:v>
                </c:pt>
                <c:pt idx="6">
                  <c:v>3.9915929955502532</c:v>
                </c:pt>
                <c:pt idx="7">
                  <c:v>2.0679358098851663</c:v>
                </c:pt>
                <c:pt idx="8">
                  <c:v>16.092615778393583</c:v>
                </c:pt>
                <c:pt idx="9">
                  <c:v>34.359468804949863</c:v>
                </c:pt>
                <c:pt idx="10">
                  <c:v>9.1609989907432769</c:v>
                </c:pt>
              </c:numCache>
            </c:numRef>
          </c:val>
        </c:ser>
        <c:ser>
          <c:idx val="1"/>
          <c:order val="1"/>
          <c:explosion val="25"/>
          <c:dPt>
            <c:idx val="0"/>
            <c:bubble3D val="0"/>
          </c:dPt>
          <c:dPt>
            <c:idx val="1"/>
            <c:bubble3D val="0"/>
          </c:dPt>
          <c:dPt>
            <c:idx val="2"/>
            <c:bubble3D val="0"/>
          </c:dPt>
          <c:dPt>
            <c:idx val="3"/>
            <c:bubble3D val="0"/>
          </c:dPt>
          <c:dPt>
            <c:idx val="4"/>
            <c:bubble3D val="0"/>
          </c:dPt>
          <c:dPt>
            <c:idx val="5"/>
            <c:bubble3D val="0"/>
          </c:dPt>
          <c:dPt>
            <c:idx val="6"/>
            <c:bubble3D val="0"/>
          </c:dPt>
          <c:dPt>
            <c:idx val="7"/>
            <c:bubble3D val="0"/>
          </c:dPt>
          <c:dPt>
            <c:idx val="8"/>
            <c:bubble3D val="0"/>
          </c:dPt>
          <c:dPt>
            <c:idx val="9"/>
            <c:bubble3D val="0"/>
          </c:dPt>
          <c:dPt>
            <c:idx val="10"/>
            <c:bubble3D val="0"/>
          </c:dPt>
          <c:cat>
            <c:strRef>
              <c:f>Sheet2!$A$1:$A$11</c:f>
              <c:strCache>
                <c:ptCount val="11"/>
                <c:pt idx="0">
                  <c:v>Bendros valstybės paslaugos -8.4</c:v>
                </c:pt>
                <c:pt idx="1">
                  <c:v>Gynyba - 0,1</c:v>
                </c:pt>
                <c:pt idx="2">
                  <c:v>Viešoji tvarka ir visuom. apsauga - 1,3</c:v>
                </c:pt>
                <c:pt idx="3">
                  <c:v>Ekonomika -10.6</c:v>
                </c:pt>
                <c:pt idx="4">
                  <c:v>Socialinė apsauga -11.1</c:v>
                </c:pt>
                <c:pt idx="5">
                  <c:v>Aplinkos apsauga -2.9</c:v>
                </c:pt>
                <c:pt idx="6">
                  <c:v>Būstas ir komunalinis ūkis - 4.0</c:v>
                </c:pt>
                <c:pt idx="7">
                  <c:v>Sveikatos apsauga - 2.1</c:v>
                </c:pt>
                <c:pt idx="8">
                  <c:v>Poilsis, kultūra ir religija - 16.1</c:v>
                </c:pt>
                <c:pt idx="9">
                  <c:v>Švietimas -34.4</c:v>
                </c:pt>
                <c:pt idx="10">
                  <c:v>Finansinių įsipareigojimų vykdymo išlaidos (grąžintos paskolos) - 9.2</c:v>
                </c:pt>
              </c:strCache>
            </c:strRef>
          </c:cat>
          <c:val>
            <c:numRef>
              <c:f>Sheet2!$C$1:$C$11</c:f>
              <c:numCache>
                <c:formatCode>0.0</c:formatCode>
                <c:ptCount val="11"/>
                <c:pt idx="0">
                  <c:v>8.3516860830087651</c:v>
                </c:pt>
                <c:pt idx="1">
                  <c:v>5.7225896625753038E-2</c:v>
                </c:pt>
                <c:pt idx="2">
                  <c:v>1.3477565714404625</c:v>
                </c:pt>
                <c:pt idx="3">
                  <c:v>10.551068043325206</c:v>
                </c:pt>
                <c:pt idx="4">
                  <c:v>11.117777831728118</c:v>
                </c:pt>
                <c:pt idx="5">
                  <c:v>2.9018731943495495</c:v>
                </c:pt>
                <c:pt idx="6">
                  <c:v>3.9915929955502532</c:v>
                </c:pt>
                <c:pt idx="7">
                  <c:v>2.0679358098851663</c:v>
                </c:pt>
                <c:pt idx="8">
                  <c:v>16.092615778393583</c:v>
                </c:pt>
                <c:pt idx="9">
                  <c:v>34.359468804949863</c:v>
                </c:pt>
                <c:pt idx="10">
                  <c:v>9.1609989907432769</c:v>
                </c:pt>
              </c:numCache>
            </c:numRef>
          </c:val>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0.66775404935425253"/>
          <c:y val="3.9438641598371633E-2"/>
          <c:w val="0.33224595064574736"/>
          <c:h val="0.90168621779420421"/>
        </c:manualLayout>
      </c:layout>
      <c:overlay val="0"/>
      <c:txPr>
        <a:bodyPr/>
        <a:lstStyle/>
        <a:p>
          <a:pPr>
            <a:defRPr sz="1100">
              <a:latin typeface="Times New Roman" panose="02020603050405020304" pitchFamily="18" charset="0"/>
              <a:cs typeface="Times New Roman" panose="02020603050405020304" pitchFamily="18" charset="0"/>
            </a:defRPr>
          </a:pPr>
          <a:endParaRPr lang="lt-LT"/>
        </a:p>
      </c:txPr>
    </c:legend>
    <c:plotVisOnly val="1"/>
    <c:dispBlanksAs val="gap"/>
    <c:showDLblsOverMax val="0"/>
  </c:chart>
  <c:spPr>
    <a:ln>
      <a:noFill/>
    </a:ln>
  </c:sp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2461609513912945E-2"/>
          <c:y val="9.2968718560946489E-2"/>
          <c:w val="0.93153648762654673"/>
          <c:h val="0.76325848917322836"/>
        </c:manualLayout>
      </c:layout>
      <c:bar3DChart>
        <c:barDir val="col"/>
        <c:grouping val="clustered"/>
        <c:varyColors val="0"/>
        <c:ser>
          <c:idx val="0"/>
          <c:order val="0"/>
          <c:tx>
            <c:strRef>
              <c:f>Sheet4!$B$4</c:f>
              <c:strCache>
                <c:ptCount val="1"/>
                <c:pt idx="0">
                  <c:v>Paskolų likutis metų pabaigoje, tūkst. eurų</c:v>
                </c:pt>
              </c:strCache>
            </c:strRef>
          </c:tx>
          <c:spPr>
            <a:solidFill>
              <a:schemeClr val="accent5">
                <a:alpha val="85000"/>
              </a:schemeClr>
            </a:solidFill>
            <a:ln w="9525" cap="flat" cmpd="sng" algn="ctr">
              <a:solidFill>
                <a:schemeClr val="accent5">
                  <a:lumMod val="75000"/>
                </a:schemeClr>
              </a:solidFill>
              <a:round/>
            </a:ln>
            <a:effectLst/>
            <a:sp3d contourW="9525">
              <a:contourClr>
                <a:schemeClr val="accent5">
                  <a:lumMod val="75000"/>
                </a:schemeClr>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Sheet4!$C$3:$G$3</c:f>
              <c:numCache>
                <c:formatCode>General</c:formatCode>
                <c:ptCount val="5"/>
                <c:pt idx="0">
                  <c:v>2017</c:v>
                </c:pt>
                <c:pt idx="1">
                  <c:v>2018</c:v>
                </c:pt>
                <c:pt idx="2">
                  <c:v>2019</c:v>
                </c:pt>
                <c:pt idx="3">
                  <c:v>2020</c:v>
                </c:pt>
                <c:pt idx="4">
                  <c:v>2021</c:v>
                </c:pt>
              </c:numCache>
            </c:numRef>
          </c:cat>
          <c:val>
            <c:numRef>
              <c:f>Sheet4!$C$4:$G$4</c:f>
              <c:numCache>
                <c:formatCode>General</c:formatCode>
                <c:ptCount val="5"/>
                <c:pt idx="0">
                  <c:v>5680.7</c:v>
                </c:pt>
                <c:pt idx="1">
                  <c:v>5671.1</c:v>
                </c:pt>
                <c:pt idx="2">
                  <c:v>5698.7</c:v>
                </c:pt>
                <c:pt idx="3">
                  <c:v>6712.6</c:v>
                </c:pt>
                <c:pt idx="4">
                  <c:v>7295.2</c:v>
                </c:pt>
              </c:numCache>
            </c:numRef>
          </c:val>
        </c:ser>
        <c:dLbls>
          <c:showLegendKey val="0"/>
          <c:showVal val="0"/>
          <c:showCatName val="0"/>
          <c:showSerName val="0"/>
          <c:showPercent val="0"/>
          <c:showBubbleSize val="0"/>
        </c:dLbls>
        <c:gapWidth val="65"/>
        <c:shape val="pyramid"/>
        <c:axId val="98995712"/>
        <c:axId val="121888064"/>
        <c:axId val="0"/>
      </c:bar3DChart>
      <c:catAx>
        <c:axId val="9899571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lt-LT"/>
          </a:p>
        </c:txPr>
        <c:crossAx val="121888064"/>
        <c:crosses val="autoZero"/>
        <c:auto val="1"/>
        <c:lblAlgn val="ctr"/>
        <c:lblOffset val="100"/>
        <c:noMultiLvlLbl val="0"/>
      </c:catAx>
      <c:valAx>
        <c:axId val="121888064"/>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lt-LT"/>
          </a:p>
        </c:txPr>
        <c:crossAx val="98995712"/>
        <c:crosses val="autoZero"/>
        <c:crossBetween val="between"/>
      </c:val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noFill/>
      <a:round/>
    </a:ln>
    <a:effectLst/>
  </c:spPr>
  <c:txPr>
    <a:bodyPr/>
    <a:lstStyle/>
    <a:p>
      <a:pPr>
        <a:defRPr/>
      </a:pPr>
      <a:endParaRPr lang="lt-LT"/>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3"/>
          <c:order val="0"/>
          <c:tx>
            <c:strRef>
              <c:f>'Sheet4 (2)'!$B$3</c:f>
              <c:strCache>
                <c:ptCount val="1"/>
                <c:pt idx="0">
                  <c:v>Palūkanų mokėjimas per metus, tūkst. eurų</c:v>
                </c:pt>
              </c:strCache>
            </c:strRef>
          </c:tx>
          <c:spPr>
            <a:gradFill rotWithShape="1">
              <a:gsLst>
                <a:gs pos="0">
                  <a:schemeClr val="accent4">
                    <a:tint val="50000"/>
                    <a:satMod val="300000"/>
                  </a:schemeClr>
                </a:gs>
                <a:gs pos="35000">
                  <a:schemeClr val="accent4">
                    <a:tint val="37000"/>
                    <a:satMod val="300000"/>
                  </a:schemeClr>
                </a:gs>
                <a:gs pos="100000">
                  <a:schemeClr val="accent4">
                    <a:tint val="15000"/>
                    <a:satMod val="350000"/>
                  </a:schemeClr>
                </a:gs>
              </a:gsLst>
              <a:lin ang="16200000" scaled="1"/>
            </a:gradFill>
            <a:ln w="9525" cap="flat" cmpd="sng" algn="ctr">
              <a:solidFill>
                <a:schemeClr val="accent4">
                  <a:shade val="95000"/>
                </a:schemeClr>
              </a:solidFill>
              <a:round/>
            </a:ln>
            <a:effectLst>
              <a:outerShdw blurRad="40000" dist="20000" dir="5400000" rotWithShape="0">
                <a:srgbClr val="000000">
                  <a:alpha val="38000"/>
                </a:srgbClr>
              </a:outerShdw>
            </a:effectLst>
            <a:sp3d contourW="9525">
              <a:contourClr>
                <a:schemeClr val="accent4">
                  <a:shade val="95000"/>
                </a:schemeClr>
              </a:contourClr>
            </a:sp3d>
          </c:spPr>
          <c:invertIfNegative val="0"/>
          <c:dPt>
            <c:idx val="0"/>
            <c:invertIfNegative val="0"/>
            <c:bubble3D val="0"/>
          </c:dPt>
          <c:dPt>
            <c:idx val="1"/>
            <c:invertIfNegative val="0"/>
            <c:bubble3D val="0"/>
          </c:dPt>
          <c:dPt>
            <c:idx val="2"/>
            <c:invertIfNegative val="0"/>
            <c:bubble3D val="0"/>
          </c:dPt>
          <c:dPt>
            <c:idx val="3"/>
            <c:invertIfNegative val="0"/>
            <c:bubble3D val="0"/>
          </c:dPt>
          <c:dPt>
            <c:idx val="4"/>
            <c:invertIfNegative val="0"/>
            <c:bubble3D val="0"/>
          </c:dPt>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50000"/>
                        <a:lumOff val="50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'Sheet4 (2)'!$C$2:$G$2</c:f>
              <c:numCache>
                <c:formatCode>General</c:formatCode>
                <c:ptCount val="5"/>
                <c:pt idx="0">
                  <c:v>2017</c:v>
                </c:pt>
                <c:pt idx="1">
                  <c:v>2018</c:v>
                </c:pt>
                <c:pt idx="2">
                  <c:v>2019</c:v>
                </c:pt>
                <c:pt idx="3">
                  <c:v>2020</c:v>
                </c:pt>
                <c:pt idx="4">
                  <c:v>2021</c:v>
                </c:pt>
              </c:numCache>
            </c:numRef>
          </c:cat>
          <c:val>
            <c:numRef>
              <c:f>'Sheet4 (2)'!$C$3:$G$3</c:f>
              <c:numCache>
                <c:formatCode>General</c:formatCode>
                <c:ptCount val="5"/>
                <c:pt idx="0">
                  <c:v>54.1</c:v>
                </c:pt>
                <c:pt idx="1">
                  <c:v>52.8</c:v>
                </c:pt>
                <c:pt idx="2">
                  <c:v>54.4</c:v>
                </c:pt>
                <c:pt idx="3" formatCode="0.0">
                  <c:v>55</c:v>
                </c:pt>
                <c:pt idx="4">
                  <c:v>62.9</c:v>
                </c:pt>
              </c:numCache>
            </c:numRef>
          </c:val>
        </c:ser>
        <c:dLbls>
          <c:showLegendKey val="0"/>
          <c:showVal val="0"/>
          <c:showCatName val="0"/>
          <c:showSerName val="0"/>
          <c:showPercent val="0"/>
          <c:showBubbleSize val="0"/>
        </c:dLbls>
        <c:gapWidth val="150"/>
        <c:shape val="pyramid"/>
        <c:axId val="119538688"/>
        <c:axId val="138994816"/>
        <c:axId val="0"/>
      </c:bar3DChart>
      <c:catAx>
        <c:axId val="11953868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50000"/>
                    <a:lumOff val="50000"/>
                  </a:schemeClr>
                </a:solidFill>
                <a:latin typeface="Times New Roman" panose="02020603050405020304" pitchFamily="18" charset="0"/>
                <a:ea typeface="+mn-ea"/>
                <a:cs typeface="Times New Roman" panose="02020603050405020304" pitchFamily="18" charset="0"/>
              </a:defRPr>
            </a:pPr>
            <a:endParaRPr lang="lt-LT"/>
          </a:p>
        </c:txPr>
        <c:crossAx val="138994816"/>
        <c:crosses val="autoZero"/>
        <c:auto val="1"/>
        <c:lblAlgn val="ctr"/>
        <c:lblOffset val="100"/>
        <c:noMultiLvlLbl val="0"/>
      </c:catAx>
      <c:valAx>
        <c:axId val="1389948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50000"/>
                    <a:lumOff val="50000"/>
                  </a:schemeClr>
                </a:solidFill>
                <a:latin typeface="Times New Roman" panose="02020603050405020304" pitchFamily="18" charset="0"/>
                <a:ea typeface="+mn-ea"/>
                <a:cs typeface="Times New Roman" panose="02020603050405020304" pitchFamily="18" charset="0"/>
              </a:defRPr>
            </a:pPr>
            <a:endParaRPr lang="lt-LT"/>
          </a:p>
        </c:txPr>
        <c:crossAx val="11953868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1200">
          <a:latin typeface="Times New Roman" panose="02020603050405020304" pitchFamily="18" charset="0"/>
          <a:cs typeface="Times New Roman" panose="02020603050405020304" pitchFamily="18" charset="0"/>
        </a:defRPr>
      </a:pPr>
      <a:endParaRPr lang="lt-LT"/>
    </a:p>
  </c:txPr>
  <c:externalData r:id="rId1">
    <c:autoUpdate val="0"/>
  </c:externalData>
</c:chartSpac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49B7B-B0A6-498E-BAC6-54A3D632D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8020B28F</Template>
  <TotalTime>11</TotalTime>
  <Pages>20</Pages>
  <Words>20536</Words>
  <Characters>11706</Characters>
  <Application>Microsoft Office Word</Application>
  <DocSecurity>0</DocSecurity>
  <Lines>97</Lines>
  <Paragraphs>64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Forma patvirtinta</vt:lpstr>
      <vt:lpstr>Forma patvirtinta</vt:lpstr>
    </vt:vector>
  </TitlesOfParts>
  <Company>Privati</Company>
  <LinksUpToDate>false</LinksUpToDate>
  <CharactersWithSpaces>32178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 patvirtinta</dc:title>
  <dc:creator>Gasiunas</dc:creator>
  <cp:lastModifiedBy>Jovita Šumskienė</cp:lastModifiedBy>
  <cp:revision>6</cp:revision>
  <cp:lastPrinted>2018-04-05T08:49:00Z</cp:lastPrinted>
  <dcterms:created xsi:type="dcterms:W3CDTF">2022-06-27T07:47:00Z</dcterms:created>
  <dcterms:modified xsi:type="dcterms:W3CDTF">2022-07-20T06:43:00Z</dcterms:modified>
</cp:coreProperties>
</file>