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37" w:rsidRPr="003C1637" w:rsidRDefault="003C1637" w:rsidP="003C1637">
      <w:pPr>
        <w:ind w:firstLine="0"/>
        <w:jc w:val="right"/>
        <w:rPr>
          <w:szCs w:val="24"/>
        </w:rPr>
      </w:pPr>
      <w:bookmarkStart w:id="0" w:name="_GoBack"/>
      <w:bookmarkEnd w:id="0"/>
      <w:r w:rsidRPr="003C1637">
        <w:rPr>
          <w:szCs w:val="24"/>
        </w:rPr>
        <w:t>Lyginamasis variantas</w:t>
      </w:r>
    </w:p>
    <w:p w:rsidR="003C1637" w:rsidRDefault="003C1637" w:rsidP="003C1637">
      <w:pPr>
        <w:ind w:firstLine="0"/>
        <w:jc w:val="right"/>
        <w:rPr>
          <w:b/>
          <w:sz w:val="28"/>
          <w:szCs w:val="28"/>
        </w:rPr>
      </w:pPr>
    </w:p>
    <w:p w:rsidR="005260BC" w:rsidRPr="005260BC" w:rsidRDefault="005260BC" w:rsidP="004668BE">
      <w:pPr>
        <w:ind w:firstLine="0"/>
        <w:jc w:val="center"/>
        <w:rPr>
          <w:b/>
          <w:sz w:val="28"/>
          <w:szCs w:val="28"/>
        </w:rPr>
      </w:pPr>
      <w:r w:rsidRPr="005260BC">
        <w:rPr>
          <w:b/>
          <w:sz w:val="28"/>
          <w:szCs w:val="28"/>
        </w:rPr>
        <w:t>PLUNGĖS RAJONO SAVIVALDYBĖS</w:t>
      </w:r>
    </w:p>
    <w:p w:rsidR="005260BC" w:rsidRDefault="005260BC" w:rsidP="004668BE">
      <w:pPr>
        <w:ind w:firstLine="0"/>
        <w:jc w:val="center"/>
        <w:rPr>
          <w:b/>
          <w:sz w:val="28"/>
          <w:szCs w:val="28"/>
        </w:rPr>
      </w:pPr>
      <w:r w:rsidRPr="005260BC">
        <w:rPr>
          <w:b/>
          <w:sz w:val="28"/>
          <w:szCs w:val="28"/>
        </w:rPr>
        <w:t>TARYBA</w:t>
      </w:r>
    </w:p>
    <w:p w:rsidR="005260BC" w:rsidRPr="005260BC" w:rsidRDefault="005260BC" w:rsidP="004668BE">
      <w:pPr>
        <w:ind w:firstLine="0"/>
        <w:jc w:val="center"/>
        <w:rPr>
          <w:b/>
          <w:sz w:val="28"/>
          <w:szCs w:val="28"/>
        </w:rPr>
      </w:pPr>
    </w:p>
    <w:p w:rsidR="005260BC" w:rsidRPr="005260BC" w:rsidRDefault="005260BC" w:rsidP="004668BE">
      <w:pPr>
        <w:ind w:firstLine="0"/>
        <w:jc w:val="center"/>
        <w:rPr>
          <w:b/>
          <w:sz w:val="28"/>
          <w:szCs w:val="28"/>
        </w:rPr>
      </w:pPr>
      <w:r w:rsidRPr="005260BC">
        <w:rPr>
          <w:b/>
          <w:sz w:val="28"/>
          <w:szCs w:val="28"/>
        </w:rPr>
        <w:t>SPRENDIMAS</w:t>
      </w:r>
    </w:p>
    <w:p w:rsidR="005260BC" w:rsidRPr="005260BC" w:rsidRDefault="005260BC" w:rsidP="004668BE">
      <w:pPr>
        <w:ind w:firstLine="0"/>
        <w:jc w:val="center"/>
        <w:rPr>
          <w:b/>
          <w:sz w:val="28"/>
          <w:szCs w:val="28"/>
        </w:rPr>
      </w:pPr>
      <w:r w:rsidRPr="005260BC">
        <w:rPr>
          <w:b/>
          <w:sz w:val="28"/>
          <w:szCs w:val="28"/>
        </w:rPr>
        <w:t>DĖL VALSTYBINĖS ŽEMĖS NUOMOS MOKESČIO</w:t>
      </w:r>
    </w:p>
    <w:p w:rsidR="005260BC" w:rsidRDefault="005260BC" w:rsidP="004668BE">
      <w:pPr>
        <w:ind w:firstLine="0"/>
        <w:jc w:val="center"/>
        <w:rPr>
          <w:b/>
          <w:sz w:val="28"/>
          <w:szCs w:val="28"/>
        </w:rPr>
      </w:pPr>
      <w:r w:rsidRPr="005260BC">
        <w:rPr>
          <w:b/>
          <w:sz w:val="28"/>
          <w:szCs w:val="28"/>
        </w:rPr>
        <w:t>LENGVATŲ NUSTATYMO</w:t>
      </w:r>
    </w:p>
    <w:p w:rsidR="005260BC" w:rsidRPr="005260BC" w:rsidRDefault="005260BC" w:rsidP="004668BE">
      <w:pPr>
        <w:ind w:firstLine="0"/>
        <w:jc w:val="center"/>
        <w:rPr>
          <w:b/>
          <w:sz w:val="28"/>
          <w:szCs w:val="28"/>
        </w:rPr>
      </w:pPr>
    </w:p>
    <w:p w:rsidR="005260BC" w:rsidRDefault="005260BC" w:rsidP="004668BE">
      <w:pPr>
        <w:ind w:firstLine="0"/>
        <w:jc w:val="center"/>
      </w:pPr>
      <w:r>
        <w:t>2019 m. gegužės 30 d. Nr. T1-</w:t>
      </w:r>
      <w:r w:rsidR="00237735">
        <w:t>136</w:t>
      </w:r>
    </w:p>
    <w:p w:rsidR="00B46640" w:rsidRDefault="005260BC" w:rsidP="004668BE">
      <w:pPr>
        <w:ind w:firstLine="0"/>
        <w:jc w:val="center"/>
      </w:pPr>
      <w:r>
        <w:t>Plungė</w:t>
      </w:r>
    </w:p>
    <w:p w:rsidR="005260BC" w:rsidRDefault="005260BC" w:rsidP="005260BC">
      <w:pPr>
        <w:ind w:firstLine="0"/>
        <w:jc w:val="center"/>
      </w:pPr>
    </w:p>
    <w:p w:rsidR="00656C81" w:rsidRPr="006F4813" w:rsidRDefault="00656C81" w:rsidP="005260BC">
      <w:pPr>
        <w:tabs>
          <w:tab w:val="left" w:pos="900"/>
        </w:tabs>
      </w:pPr>
      <w:r w:rsidRPr="006F4813">
        <w:t>Vadovaudama</w:t>
      </w:r>
      <w:r>
        <w:t>si Lietuvos Respublikos vietos savivaldos įstatymo 16 straipsnio 2 dalies 18 punktu</w:t>
      </w:r>
      <w:r w:rsidRPr="006F4813">
        <w:t xml:space="preserve">, </w:t>
      </w:r>
      <w:r>
        <w:t xml:space="preserve">Lietuvos Respublikos Vyriausybės </w:t>
      </w:r>
      <w:smartTag w:uri="schemas-tilde-lv/tildestengine" w:element="metric2">
        <w:smartTagPr>
          <w:attr w:name="metric_value" w:val="2002"/>
          <w:attr w:name="metric_text" w:val="m"/>
        </w:smartTagPr>
        <w:r>
          <w:t>2002 m</w:t>
        </w:r>
      </w:smartTag>
      <w:r>
        <w:t>. lapkričio 19 d. nutarimo Nr. 1798 „Dėl nuomos mokesčio už valstybinę žemę</w:t>
      </w:r>
      <w:r w:rsidRPr="00807BA3">
        <w:t>“</w:t>
      </w:r>
      <w:r>
        <w:t xml:space="preserve"> 1.8 punktu</w:t>
      </w:r>
      <w:r w:rsidRPr="006F4813">
        <w:t xml:space="preserve">, </w:t>
      </w:r>
      <w:r>
        <w:t>Lietuvos Respublikos Vyriausybės 2003 m. lapkričio 10 d. nutarimo Nr. 1387 „Dėl žemės nuomos mokesčio už valstybinės žemės sklypų naudojimą</w:t>
      </w:r>
      <w:r w:rsidR="008E1845">
        <w:t>“</w:t>
      </w:r>
      <w:r w:rsidR="002B4ECE">
        <w:t xml:space="preserve"> </w:t>
      </w:r>
      <w:r>
        <w:t xml:space="preserve">8 punktu, </w:t>
      </w:r>
      <w:r w:rsidRPr="006F4813">
        <w:t xml:space="preserve">Plungės rajono </w:t>
      </w:r>
      <w:r>
        <w:t xml:space="preserve">savivaldybės taryba </w:t>
      </w:r>
      <w:r w:rsidRPr="006F4813">
        <w:t>n u s p r e n d ž i a:</w:t>
      </w:r>
    </w:p>
    <w:p w:rsidR="00656C81" w:rsidRPr="006F4813" w:rsidRDefault="002635BC" w:rsidP="005260BC">
      <w:pPr>
        <w:tabs>
          <w:tab w:val="left" w:pos="900"/>
        </w:tabs>
      </w:pPr>
      <w:r>
        <w:t>1. Nustatyti gyvenamųjų teritorijų žemė</w:t>
      </w:r>
      <w:r w:rsidR="008E1845">
        <w:t>s</w:t>
      </w:r>
      <w:r w:rsidR="00656C81">
        <w:t xml:space="preserve"> ar žemės ūkio paskirties žemės </w:t>
      </w:r>
      <w:r w:rsidR="00656C81" w:rsidRPr="006F4813">
        <w:t>neapmokestinamus žemės sklypų dydžius</w:t>
      </w:r>
      <w:r w:rsidR="00656C81">
        <w:t xml:space="preserve"> valstybinės žemės nuomininkams (naudotojams)</w:t>
      </w:r>
      <w:r w:rsidR="00656C81" w:rsidRPr="006F4813">
        <w:t>:</w:t>
      </w:r>
    </w:p>
    <w:p w:rsidR="00656C81" w:rsidRPr="006F4813" w:rsidRDefault="00656C81" w:rsidP="005260BC">
      <w:pPr>
        <w:tabs>
          <w:tab w:val="left" w:pos="900"/>
        </w:tabs>
      </w:pPr>
      <w:r w:rsidRPr="006F4813">
        <w:t>1.1. Plungės mieste</w:t>
      </w:r>
      <w:r>
        <w:t xml:space="preserve"> </w:t>
      </w:r>
      <w:r w:rsidR="00D559D8">
        <w:t>–</w:t>
      </w:r>
      <w:r w:rsidRPr="006F4813">
        <w:t xml:space="preserve"> iki 0,04 hektaro ploto žemės sklypą Plungės rajono savivaldybės teritorijoje </w:t>
      </w:r>
      <w:r w:rsidRPr="00247317">
        <w:t>savo gyvenamąją vietą deklaravusiems</w:t>
      </w:r>
      <w:r w:rsidRPr="006F4813">
        <w:t xml:space="preserve"> asmenims, kuriems nustatytas 0-40 procentų darbingumo</w:t>
      </w:r>
      <w:r>
        <w:t xml:space="preserve"> lygis</w:t>
      </w:r>
      <w:r w:rsidRPr="006F4813">
        <w:t xml:space="preserve">, asmenims, kuriems sukakęs senatvės pensijos amžius, ir nepilnamečiams asmenims, kai minėtų savininkų šeimose apmokestinamojo laikotarpio pradžioje nėra darbingų asmenų </w:t>
      </w:r>
      <w:r w:rsidRPr="006F4813">
        <w:rPr>
          <w:bCs/>
        </w:rPr>
        <w:t>(prie darbingų asmenų nepriskiriami mokymo įstaigų dieninių skyrių moksleiviai ir studentai). Mokesčiai mokami už</w:t>
      </w:r>
      <w:r>
        <w:rPr>
          <w:bCs/>
        </w:rPr>
        <w:t xml:space="preserve"> plotą, viršijantį 0,04 hektaro;</w:t>
      </w:r>
    </w:p>
    <w:p w:rsidR="00656C81" w:rsidRDefault="00656C81" w:rsidP="005260BC">
      <w:pPr>
        <w:tabs>
          <w:tab w:val="left" w:pos="900"/>
        </w:tabs>
      </w:pPr>
      <w:r>
        <w:t>1.2. k</w:t>
      </w:r>
      <w:r w:rsidRPr="006F4813">
        <w:t>aimo vietovėje</w:t>
      </w:r>
      <w:r>
        <w:t xml:space="preserve"> </w:t>
      </w:r>
      <w:r w:rsidR="00D559D8">
        <w:t>–</w:t>
      </w:r>
      <w:r w:rsidRPr="006F4813">
        <w:t xml:space="preserve"> iki 1,0 hektaro ploto žemės sklypą Plungės rajono savivaldybės teritorijoje </w:t>
      </w:r>
      <w:r w:rsidRPr="00247317">
        <w:t>savo gyvenamąją vietą deklaravusiems</w:t>
      </w:r>
      <w:r w:rsidRPr="006F4813">
        <w:t xml:space="preserve"> asmenims, kuriems nustatytas 0-40 procentų darbingumo</w:t>
      </w:r>
      <w:r>
        <w:t xml:space="preserve"> lygis</w:t>
      </w:r>
      <w:r w:rsidRPr="006F4813">
        <w:t>, asmenims, kuriems sukakęs senatvės pensijos amžius</w:t>
      </w:r>
      <w:r>
        <w:t>,</w:t>
      </w:r>
      <w:r w:rsidRPr="006F4813">
        <w:t xml:space="preserve"> ir nepilnamečiams asmenims, kai minėtų savininkų šeimose apmokestinamojo laikotarpio pradžioje nėra darbingų asmenų. Mokesčiai mokami už plotą, viršijantį 1,0 hektarą.</w:t>
      </w:r>
    </w:p>
    <w:p w:rsidR="00656C81" w:rsidRPr="003C21FB" w:rsidRDefault="00656C81" w:rsidP="005260BC">
      <w:pPr>
        <w:tabs>
          <w:tab w:val="left" w:pos="900"/>
        </w:tabs>
        <w:rPr>
          <w:strike/>
        </w:rPr>
      </w:pPr>
      <w:r w:rsidRPr="003C21FB">
        <w:rPr>
          <w:strike/>
        </w:rPr>
        <w:t>2. Suteikti 80 procentų žemės nuomos mokesčio lengvatą Plungės rajono savivaldybės teritorijoje savo gyvenamąją vietą deklaravusiems asmenims, kurie Plungės mieste laikinai naudojasi neužstatytais miesto fondiniais žemės sklypais žemės ūkio veiklai</w:t>
      </w:r>
      <w:r w:rsidR="008E1845" w:rsidRPr="003C21FB">
        <w:rPr>
          <w:strike/>
        </w:rPr>
        <w:t>.</w:t>
      </w:r>
    </w:p>
    <w:p w:rsidR="00656C81" w:rsidRPr="00E8514A" w:rsidRDefault="00656C81" w:rsidP="005260BC">
      <w:r w:rsidRPr="00332491">
        <w:t>3. Atleisti nuo žemės nuomos mokesčio Savivaldybės biudžeto sąskaita už pagrindinei</w:t>
      </w:r>
      <w:r w:rsidRPr="00E8514A">
        <w:t xml:space="preserve"> veiklai (paskirčiai) naudojamą valstybinę žemę:</w:t>
      </w:r>
    </w:p>
    <w:p w:rsidR="00656C81" w:rsidRPr="00E8514A" w:rsidRDefault="00656C81" w:rsidP="005260BC">
      <w:r>
        <w:t>3</w:t>
      </w:r>
      <w:r w:rsidRPr="00E8514A">
        <w:t>.1. archeologijos paminklų (išskyrus senamiesčių kultūrinius sluoksnius) ir istorijos paminklų (neveikiančių kapinių ir laidojimo vietų) teritorijų ir jų apsaugos zonų žemę (išskyrus namų valdų, kitų pastatų, kiemų, tvenkinių, kelių užimtą žemę);</w:t>
      </w:r>
    </w:p>
    <w:p w:rsidR="00656C81" w:rsidRPr="00E8514A" w:rsidRDefault="00656C81" w:rsidP="005260BC">
      <w:pPr>
        <w:tabs>
          <w:tab w:val="left" w:pos="900"/>
        </w:tabs>
      </w:pPr>
      <w:r>
        <w:t>3</w:t>
      </w:r>
      <w:r w:rsidRPr="00E8514A">
        <w:t>.2. valstybinių rezervatų bei nacionalinių ir regioninių parkų teritorijoje esančių rezervatų žemę;</w:t>
      </w:r>
    </w:p>
    <w:p w:rsidR="00656C81" w:rsidRPr="00E8514A" w:rsidRDefault="00656C81" w:rsidP="005260BC">
      <w:r>
        <w:t>3</w:t>
      </w:r>
      <w:r w:rsidR="00210FF8">
        <w:t>.3</w:t>
      </w:r>
      <w:r w:rsidRPr="00E8514A">
        <w:t xml:space="preserve">. </w:t>
      </w:r>
      <w:r w:rsidRPr="002635BC">
        <w:t>biudžetinių įstaigų, veikiančių pagal Lietuvos Respublikos biudžetinių įstaigų įstatymą, naudojamą žemę;</w:t>
      </w:r>
    </w:p>
    <w:p w:rsidR="00656C81" w:rsidRPr="003C21FB" w:rsidRDefault="00656C81" w:rsidP="005260BC">
      <w:pPr>
        <w:rPr>
          <w:strike/>
        </w:rPr>
      </w:pPr>
      <w:r w:rsidRPr="003C21FB">
        <w:rPr>
          <w:strike/>
        </w:rPr>
        <w:t>3</w:t>
      </w:r>
      <w:r w:rsidR="00210FF8" w:rsidRPr="003C21FB">
        <w:rPr>
          <w:strike/>
        </w:rPr>
        <w:t>.4</w:t>
      </w:r>
      <w:r w:rsidRPr="003C21FB">
        <w:rPr>
          <w:strike/>
        </w:rPr>
        <w:t>.  sporto aikštynams ir sporto bazėms skirtą žemę;</w:t>
      </w:r>
    </w:p>
    <w:p w:rsidR="00656C81" w:rsidRPr="00A67865" w:rsidRDefault="00656C81" w:rsidP="005260BC">
      <w:r>
        <w:t>3</w:t>
      </w:r>
      <w:r w:rsidR="00210FF8">
        <w:t>.5</w:t>
      </w:r>
      <w:r w:rsidRPr="00E8514A">
        <w:t xml:space="preserve">. </w:t>
      </w:r>
      <w:r w:rsidRPr="00A67865">
        <w:t>bažnyčių ir šventorių užimtą žemę bei sklypus, priskirtus prie religinėms bendrijoms sugrąžintų pastatų ir statinių (jeigu šie pastatai ir statiniai nenaudojami ūkinei, komercinei veiklai);</w:t>
      </w:r>
    </w:p>
    <w:p w:rsidR="00656C81" w:rsidRPr="00A67865" w:rsidRDefault="00210FF8" w:rsidP="005260BC">
      <w:r w:rsidRPr="00A67865">
        <w:t>3.6</w:t>
      </w:r>
      <w:r w:rsidR="00656C81" w:rsidRPr="00A67865">
        <w:t xml:space="preserve">. </w:t>
      </w:r>
      <w:r w:rsidR="00D559D8">
        <w:t xml:space="preserve">UAB </w:t>
      </w:r>
      <w:r w:rsidR="008E1845" w:rsidRPr="00A67865">
        <w:t>„</w:t>
      </w:r>
      <w:r w:rsidR="002B4ECE" w:rsidRPr="00A67865">
        <w:t>Plungės vandenys</w:t>
      </w:r>
      <w:r w:rsidR="008E1845" w:rsidRPr="00A67865">
        <w:t>“</w:t>
      </w:r>
      <w:r w:rsidR="002D098E" w:rsidRPr="00A67865">
        <w:t xml:space="preserve"> naudojamą žemę</w:t>
      </w:r>
      <w:r w:rsidR="00656C81" w:rsidRPr="00A67865">
        <w:t>;</w:t>
      </w:r>
    </w:p>
    <w:p w:rsidR="00656C81" w:rsidRPr="00A67865" w:rsidRDefault="00656C81" w:rsidP="005260BC">
      <w:r w:rsidRPr="00A67865">
        <w:t>3</w:t>
      </w:r>
      <w:r w:rsidR="00210FF8" w:rsidRPr="00A67865">
        <w:t>.7</w:t>
      </w:r>
      <w:r w:rsidRPr="00A67865">
        <w:t>. labdaros organizacijų ir fondų, įsteigtų Lietuvos Respublikos labdaros ir paramos įstatymo nustatyta tvarka, naudojamą žemę;</w:t>
      </w:r>
    </w:p>
    <w:p w:rsidR="00656C81" w:rsidRPr="00A67865" w:rsidRDefault="00656C81" w:rsidP="005260BC">
      <w:r w:rsidRPr="00A67865">
        <w:t>3</w:t>
      </w:r>
      <w:r w:rsidR="00210FF8" w:rsidRPr="00A67865">
        <w:t>.8</w:t>
      </w:r>
      <w:r w:rsidRPr="00A67865">
        <w:t>. žemę, priskirtą nekilnojamajam turtui, kurį valstybės įmonei Valstybės turto fondui perdavė valstybės valdžios ar valdymo institucijos ir Savivaldybė, iki šių objektų nuosavybės teisės perleidimo;</w:t>
      </w:r>
    </w:p>
    <w:p w:rsidR="00656C81" w:rsidRPr="00E8514A" w:rsidRDefault="00656C81" w:rsidP="00210FF8">
      <w:r w:rsidRPr="00A67865">
        <w:lastRenderedPageBreak/>
        <w:t>3</w:t>
      </w:r>
      <w:r w:rsidR="00210FF8" w:rsidRPr="00A67865">
        <w:t>.9</w:t>
      </w:r>
      <w:r w:rsidRPr="00A67865">
        <w:t>. valstybės ir savivaldybės viešųjų</w:t>
      </w:r>
      <w:r w:rsidRPr="00E8514A">
        <w:t xml:space="preserve"> sveikatos pr</w:t>
      </w:r>
      <w:r w:rsidR="00210FF8">
        <w:t xml:space="preserve">iežiūros įstaigų naudojamą žemę. </w:t>
      </w:r>
    </w:p>
    <w:p w:rsidR="002D098E" w:rsidRDefault="002D098E" w:rsidP="005260BC">
      <w:r>
        <w:t>4. Netaikyti šio sprendimo 1</w:t>
      </w:r>
      <w:r w:rsidR="00D559D8">
        <w:t>-</w:t>
      </w:r>
      <w:r>
        <w:t>3 punktuose išvardytų lengvatų</w:t>
      </w:r>
      <w:r w:rsidR="00D559D8">
        <w:t>,</w:t>
      </w:r>
      <w:r>
        <w:t xml:space="preserve"> apleistų ir naudojamų žemės sklypų savininkams.</w:t>
      </w:r>
    </w:p>
    <w:p w:rsidR="00656C81" w:rsidRDefault="00284044" w:rsidP="005260BC">
      <w:r>
        <w:t>5.</w:t>
      </w:r>
      <w:r w:rsidR="005260BC">
        <w:t xml:space="preserve"> </w:t>
      </w:r>
      <w:r w:rsidR="00656C81" w:rsidRPr="00E8514A">
        <w:t>Už valstybinę žemę, naudojamą kitoms reikmėms, valstybinės žemės nuomos mokestis mokamas bendra tvarka.</w:t>
      </w:r>
    </w:p>
    <w:p w:rsidR="00656C81" w:rsidRPr="006F4813" w:rsidRDefault="00284044" w:rsidP="005260BC">
      <w:pPr>
        <w:tabs>
          <w:tab w:val="left" w:pos="900"/>
        </w:tabs>
      </w:pPr>
      <w:r>
        <w:t>6</w:t>
      </w:r>
      <w:r w:rsidR="005260BC">
        <w:t>.</w:t>
      </w:r>
      <w:r w:rsidR="00656C81" w:rsidRPr="002635BC">
        <w:t xml:space="preserve"> Atleisti juridinius ir fizinius asmenis nuo žemės nuomos mokesčio, jeigu mokėtinas žemės nuomos mokestis už visus nuomojamus</w:t>
      </w:r>
      <w:r w:rsidR="00656C81" w:rsidRPr="006F4813">
        <w:t xml:space="preserve"> (naudoja</w:t>
      </w:r>
      <w:r w:rsidR="003042D2">
        <w:t xml:space="preserve">mus) </w:t>
      </w:r>
      <w:r w:rsidR="008D1581" w:rsidRPr="008D1581">
        <w:t>žemės sklypus neviršija 1,5</w:t>
      </w:r>
      <w:r w:rsidR="003042D2" w:rsidRPr="008D1581">
        <w:t xml:space="preserve"> eur</w:t>
      </w:r>
      <w:r w:rsidR="008E1845">
        <w:t>o</w:t>
      </w:r>
      <w:r w:rsidR="00656C81" w:rsidRPr="008D1581">
        <w:t>.</w:t>
      </w:r>
    </w:p>
    <w:p w:rsidR="00656C81" w:rsidRPr="008D794D" w:rsidRDefault="00284044" w:rsidP="005260BC">
      <w:pPr>
        <w:tabs>
          <w:tab w:val="left" w:pos="900"/>
        </w:tabs>
      </w:pPr>
      <w:r>
        <w:t>7</w:t>
      </w:r>
      <w:r w:rsidR="00656C81" w:rsidRPr="00474124">
        <w:t xml:space="preserve">. </w:t>
      </w:r>
      <w:r w:rsidR="00656C81" w:rsidRPr="008D794D">
        <w:t xml:space="preserve">Pripažinti netekusiu galios Plungės rajono savivaldybės tarybos </w:t>
      </w:r>
      <w:r w:rsidR="00E30686">
        <w:t>2019</w:t>
      </w:r>
      <w:r w:rsidR="00656C81" w:rsidRPr="008D794D">
        <w:t xml:space="preserve"> m</w:t>
      </w:r>
      <w:r w:rsidR="00E30686">
        <w:t>. gegužės</w:t>
      </w:r>
      <w:r w:rsidR="002635BC">
        <w:t xml:space="preserve"> 30</w:t>
      </w:r>
      <w:r w:rsidR="00656C81" w:rsidRPr="008D794D">
        <w:t xml:space="preserve"> d. </w:t>
      </w:r>
      <w:r w:rsidR="00E30686">
        <w:t>sprendimą Nr. T1-136</w:t>
      </w:r>
      <w:r w:rsidR="00656C81" w:rsidRPr="008D794D">
        <w:t xml:space="preserve"> „Dėl valstybinės žemės nuomos mokesčio lengvatų nustatymo“.</w:t>
      </w:r>
    </w:p>
    <w:p w:rsidR="002635BC" w:rsidRDefault="002635BC" w:rsidP="00CE267E">
      <w:pPr>
        <w:ind w:firstLine="851"/>
      </w:pPr>
    </w:p>
    <w:p w:rsidR="00925141" w:rsidRDefault="00925141" w:rsidP="005260BC">
      <w:pPr>
        <w:ind w:firstLine="0"/>
      </w:pPr>
    </w:p>
    <w:p w:rsidR="00EF1098" w:rsidRDefault="00EF1098" w:rsidP="004A2DD1">
      <w:pPr>
        <w:ind w:firstLine="0"/>
        <w:jc w:val="left"/>
      </w:pPr>
      <w:r>
        <w:t>Savivaldybės meras</w:t>
      </w:r>
      <w:r w:rsidR="002635BC">
        <w:t xml:space="preserve">                                                         </w:t>
      </w:r>
      <w:r w:rsidR="00913B68">
        <w:t xml:space="preserve">                                            </w:t>
      </w:r>
      <w:r w:rsidR="004668BE">
        <w:t>Audrius Klišonis</w:t>
      </w:r>
    </w:p>
    <w:p w:rsidR="005260BC" w:rsidRPr="00A67865" w:rsidRDefault="00EF1098" w:rsidP="00A67865">
      <w:pPr>
        <w:jc w:val="left"/>
      </w:pPr>
      <w:r>
        <w:tab/>
      </w:r>
      <w:r>
        <w:tab/>
      </w:r>
      <w:r>
        <w:tab/>
      </w:r>
      <w:r>
        <w:tab/>
      </w:r>
      <w:r>
        <w:tab/>
      </w:r>
    </w:p>
    <w:p w:rsidR="005260BC" w:rsidRDefault="005260BC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p w:rsidR="00325E7B" w:rsidRDefault="00325E7B" w:rsidP="00A67865">
      <w:pPr>
        <w:pStyle w:val="Komentarotekstas"/>
        <w:ind w:firstLine="0"/>
        <w:jc w:val="left"/>
        <w:rPr>
          <w:rFonts w:ascii="Times New Roman" w:hAnsi="Times New Roman"/>
          <w:b/>
          <w:spacing w:val="0"/>
        </w:rPr>
      </w:pPr>
    </w:p>
    <w:sectPr w:rsidR="00325E7B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631" w:rsidRDefault="006F1631">
      <w:r>
        <w:separator/>
      </w:r>
    </w:p>
  </w:endnote>
  <w:endnote w:type="continuationSeparator" w:id="0">
    <w:p w:rsidR="006F1631" w:rsidRDefault="006F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640" w:rsidRDefault="00B46640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631" w:rsidRDefault="006F1631">
      <w:r>
        <w:separator/>
      </w:r>
    </w:p>
  </w:footnote>
  <w:footnote w:type="continuationSeparator" w:id="0">
    <w:p w:rsidR="006F1631" w:rsidRDefault="006F1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6C"/>
    <w:rsid w:val="00022181"/>
    <w:rsid w:val="00023A68"/>
    <w:rsid w:val="000749EF"/>
    <w:rsid w:val="001010C0"/>
    <w:rsid w:val="0017160D"/>
    <w:rsid w:val="001C3E90"/>
    <w:rsid w:val="001E43A0"/>
    <w:rsid w:val="001F1ACF"/>
    <w:rsid w:val="00210FF8"/>
    <w:rsid w:val="00237735"/>
    <w:rsid w:val="002635BC"/>
    <w:rsid w:val="00284044"/>
    <w:rsid w:val="002B4ECE"/>
    <w:rsid w:val="002C12FE"/>
    <w:rsid w:val="002D098E"/>
    <w:rsid w:val="002E046A"/>
    <w:rsid w:val="002E3F13"/>
    <w:rsid w:val="003042D2"/>
    <w:rsid w:val="00325E7B"/>
    <w:rsid w:val="00332491"/>
    <w:rsid w:val="003528BE"/>
    <w:rsid w:val="003818B2"/>
    <w:rsid w:val="0039007C"/>
    <w:rsid w:val="003C1637"/>
    <w:rsid w:val="003C21FB"/>
    <w:rsid w:val="003C620A"/>
    <w:rsid w:val="00432370"/>
    <w:rsid w:val="00441CED"/>
    <w:rsid w:val="004531A4"/>
    <w:rsid w:val="004668BE"/>
    <w:rsid w:val="004A2DD1"/>
    <w:rsid w:val="004E731C"/>
    <w:rsid w:val="005260BC"/>
    <w:rsid w:val="005450AE"/>
    <w:rsid w:val="00571BEE"/>
    <w:rsid w:val="00584027"/>
    <w:rsid w:val="00617AD1"/>
    <w:rsid w:val="00646246"/>
    <w:rsid w:val="00656C81"/>
    <w:rsid w:val="00694D72"/>
    <w:rsid w:val="006A3009"/>
    <w:rsid w:val="006A3394"/>
    <w:rsid w:val="006C4CFA"/>
    <w:rsid w:val="006F1631"/>
    <w:rsid w:val="0076116C"/>
    <w:rsid w:val="0077679D"/>
    <w:rsid w:val="00777C76"/>
    <w:rsid w:val="00791131"/>
    <w:rsid w:val="00804DC0"/>
    <w:rsid w:val="00875A07"/>
    <w:rsid w:val="008A23F6"/>
    <w:rsid w:val="008D1581"/>
    <w:rsid w:val="008E1845"/>
    <w:rsid w:val="00913B68"/>
    <w:rsid w:val="00921136"/>
    <w:rsid w:val="00925141"/>
    <w:rsid w:val="00925EDF"/>
    <w:rsid w:val="00992916"/>
    <w:rsid w:val="00995202"/>
    <w:rsid w:val="009B6BD5"/>
    <w:rsid w:val="00A67865"/>
    <w:rsid w:val="00AF1F97"/>
    <w:rsid w:val="00B46640"/>
    <w:rsid w:val="00B66368"/>
    <w:rsid w:val="00B7393B"/>
    <w:rsid w:val="00BA2BED"/>
    <w:rsid w:val="00BD0495"/>
    <w:rsid w:val="00C17F11"/>
    <w:rsid w:val="00C21A72"/>
    <w:rsid w:val="00C30ABA"/>
    <w:rsid w:val="00C45D24"/>
    <w:rsid w:val="00CB5826"/>
    <w:rsid w:val="00CE267E"/>
    <w:rsid w:val="00CF09B0"/>
    <w:rsid w:val="00D51BD8"/>
    <w:rsid w:val="00D559D8"/>
    <w:rsid w:val="00D60186"/>
    <w:rsid w:val="00DA1A92"/>
    <w:rsid w:val="00DF65DA"/>
    <w:rsid w:val="00E30686"/>
    <w:rsid w:val="00EC652B"/>
    <w:rsid w:val="00EF1098"/>
    <w:rsid w:val="00F93E8D"/>
    <w:rsid w:val="00FC4C66"/>
    <w:rsid w:val="00FD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metric2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9B6BD5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unhideWhenUsed/>
    <w:rsid w:val="00EF1098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EF1098"/>
    <w:rPr>
      <w:rFonts w:ascii="Arial" w:hAnsi="Arial"/>
      <w:spacing w:val="-5"/>
      <w:sz w:val="24"/>
      <w:lang w:eastAsia="en-US"/>
    </w:rPr>
  </w:style>
  <w:style w:type="character" w:customStyle="1" w:styleId="searchterm3">
    <w:name w:val="searchterm3"/>
    <w:rsid w:val="005260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9B6BD5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unhideWhenUsed/>
    <w:rsid w:val="00EF1098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EF1098"/>
    <w:rPr>
      <w:rFonts w:ascii="Arial" w:hAnsi="Arial"/>
      <w:spacing w:val="-5"/>
      <w:sz w:val="24"/>
      <w:lang w:eastAsia="en-US"/>
    </w:rPr>
  </w:style>
  <w:style w:type="character" w:customStyle="1" w:styleId="searchterm3">
    <w:name w:val="searchterm3"/>
    <w:rsid w:val="00526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78FD6943</Template>
  <TotalTime>1</TotalTime>
  <Pages>2</Pages>
  <Words>2531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2</cp:revision>
  <cp:lastPrinted>2011-09-30T08:11:00Z</cp:lastPrinted>
  <dcterms:created xsi:type="dcterms:W3CDTF">2022-06-08T12:22:00Z</dcterms:created>
  <dcterms:modified xsi:type="dcterms:W3CDTF">2022-06-08T12:22:00Z</dcterms:modified>
</cp:coreProperties>
</file>