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52" w:rsidRPr="00AA6752" w:rsidRDefault="0002401C" w:rsidP="00C77A5B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845BDE7" wp14:editId="1693003E">
            <wp:simplePos x="0" y="0"/>
            <wp:positionH relativeFrom="column">
              <wp:posOffset>2819400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752" w:rsidRPr="00AA6752">
        <w:rPr>
          <w:b/>
          <w:sz w:val="28"/>
          <w:szCs w:val="28"/>
        </w:rPr>
        <w:t>PLUNGĖS RAJONO SAVIVALDYBĖS</w:t>
      </w:r>
    </w:p>
    <w:p w:rsidR="00AA6752" w:rsidRPr="00AA6752" w:rsidRDefault="00AA6752" w:rsidP="00C77A5B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TARYBA</w:t>
      </w:r>
    </w:p>
    <w:p w:rsidR="00AA6752" w:rsidRPr="00AA6752" w:rsidRDefault="00AA6752" w:rsidP="00C77A5B">
      <w:pPr>
        <w:jc w:val="center"/>
        <w:rPr>
          <w:b/>
          <w:sz w:val="28"/>
          <w:szCs w:val="28"/>
        </w:rPr>
      </w:pPr>
    </w:p>
    <w:p w:rsidR="00AA6752" w:rsidRPr="00AA6752" w:rsidRDefault="00AA6752" w:rsidP="00C77A5B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:rsidR="00AA6752" w:rsidRDefault="00416B93" w:rsidP="00C77A5B">
      <w:pPr>
        <w:jc w:val="center"/>
        <w:rPr>
          <w:b/>
          <w:sz w:val="28"/>
          <w:szCs w:val="28"/>
        </w:rPr>
      </w:pPr>
      <w:r w:rsidRPr="00036DDC">
        <w:rPr>
          <w:b/>
          <w:caps/>
          <w:sz w:val="28"/>
          <w:szCs w:val="28"/>
        </w:rPr>
        <w:t>DĖL</w:t>
      </w:r>
      <w:r w:rsidR="00036DDC">
        <w:rPr>
          <w:b/>
          <w:caps/>
          <w:sz w:val="28"/>
          <w:szCs w:val="28"/>
        </w:rPr>
        <w:t xml:space="preserve"> </w:t>
      </w:r>
      <w:r w:rsidR="00EC1F50">
        <w:rPr>
          <w:b/>
          <w:caps/>
          <w:sz w:val="28"/>
          <w:szCs w:val="28"/>
        </w:rPr>
        <w:t xml:space="preserve">SUTIKIMO PRIIMTI PANAUDOS TEISE </w:t>
      </w:r>
      <w:r w:rsidR="00036DDC" w:rsidRPr="00036DDC">
        <w:rPr>
          <w:b/>
          <w:caps/>
          <w:sz w:val="28"/>
          <w:szCs w:val="28"/>
        </w:rPr>
        <w:t>VŠĮ „VERSLI LIETUVA“</w:t>
      </w:r>
      <w:r w:rsidR="00036DDC">
        <w:rPr>
          <w:b/>
          <w:caps/>
          <w:sz w:val="28"/>
          <w:szCs w:val="28"/>
        </w:rPr>
        <w:t xml:space="preserve"> SUKURT</w:t>
      </w:r>
      <w:r w:rsidR="00EC1F50">
        <w:rPr>
          <w:b/>
          <w:caps/>
          <w:sz w:val="28"/>
          <w:szCs w:val="28"/>
        </w:rPr>
        <w:t>Ą</w:t>
      </w:r>
      <w:r w:rsidR="00496464" w:rsidRPr="00036DDC">
        <w:rPr>
          <w:b/>
          <w:caps/>
          <w:sz w:val="28"/>
          <w:szCs w:val="28"/>
        </w:rPr>
        <w:t xml:space="preserve"> </w:t>
      </w:r>
      <w:r w:rsidR="00036DDC" w:rsidRPr="00036DDC">
        <w:rPr>
          <w:b/>
          <w:caps/>
          <w:sz w:val="28"/>
          <w:szCs w:val="28"/>
        </w:rPr>
        <w:t>TURT</w:t>
      </w:r>
      <w:r w:rsidR="00EC1F50">
        <w:rPr>
          <w:b/>
          <w:caps/>
          <w:sz w:val="28"/>
          <w:szCs w:val="28"/>
        </w:rPr>
        <w:t>Ą,</w:t>
      </w:r>
      <w:r w:rsidR="00036DDC" w:rsidRPr="00036DDC">
        <w:rPr>
          <w:b/>
          <w:caps/>
          <w:sz w:val="28"/>
          <w:szCs w:val="28"/>
        </w:rPr>
        <w:t xml:space="preserve"> </w:t>
      </w:r>
      <w:r w:rsidRPr="00036DDC">
        <w:rPr>
          <w:b/>
          <w:caps/>
          <w:sz w:val="28"/>
          <w:szCs w:val="28"/>
        </w:rPr>
        <w:t>ĮGYVENDINANT</w:t>
      </w:r>
      <w:r w:rsidR="00EC1F50" w:rsidRPr="00EC1F50">
        <w:t xml:space="preserve"> </w:t>
      </w:r>
      <w:r w:rsidR="00EC1F50" w:rsidRPr="002C1AFF">
        <w:rPr>
          <w:b/>
          <w:sz w:val="28"/>
          <w:szCs w:val="28"/>
        </w:rPr>
        <w:t>BENDRADARBYSTĖS CENTRO „SPIEČIUS“ STEIGIMO PROJEKTĄ</w:t>
      </w:r>
      <w:r w:rsidR="00EC1F50">
        <w:rPr>
          <w:b/>
          <w:caps/>
          <w:sz w:val="28"/>
          <w:szCs w:val="28"/>
        </w:rPr>
        <w:t xml:space="preserve">, </w:t>
      </w:r>
      <w:r w:rsidR="00EC1F50" w:rsidRPr="002C1AFF">
        <w:rPr>
          <w:b/>
          <w:sz w:val="28"/>
          <w:szCs w:val="28"/>
        </w:rPr>
        <w:t>IR PAVEDIMO JĮ VALDYTI SAVIVALDYBĖS ADMINISTRACIJAI</w:t>
      </w:r>
    </w:p>
    <w:p w:rsidR="00EC1F50" w:rsidRPr="002C1AFF" w:rsidRDefault="00EC1F50" w:rsidP="00C77A5B">
      <w:pPr>
        <w:jc w:val="center"/>
        <w:rPr>
          <w:b/>
          <w:sz w:val="28"/>
          <w:szCs w:val="28"/>
        </w:rPr>
      </w:pPr>
    </w:p>
    <w:p w:rsidR="00AA6752" w:rsidRDefault="00750CBB" w:rsidP="00C77A5B">
      <w:pPr>
        <w:jc w:val="center"/>
      </w:pPr>
      <w:r>
        <w:t>20</w:t>
      </w:r>
      <w:r w:rsidR="005821CA">
        <w:t>21</w:t>
      </w:r>
      <w:r w:rsidR="00AA6752">
        <w:t xml:space="preserve"> m. </w:t>
      </w:r>
      <w:r w:rsidR="00496464">
        <w:t>gruodžio</w:t>
      </w:r>
      <w:r w:rsidR="005821CA">
        <w:t xml:space="preserve"> </w:t>
      </w:r>
      <w:r w:rsidR="00496464">
        <w:t>27</w:t>
      </w:r>
      <w:r w:rsidR="00AA6752">
        <w:t xml:space="preserve"> d. Nr.</w:t>
      </w:r>
      <w:r w:rsidR="00C77A5B">
        <w:t xml:space="preserve"> </w:t>
      </w:r>
      <w:r w:rsidR="000F1AEC">
        <w:t>T1-</w:t>
      </w:r>
      <w:r w:rsidR="001063B0">
        <w:t>338</w:t>
      </w:r>
    </w:p>
    <w:p w:rsidR="00C64B61" w:rsidRDefault="00AA6752" w:rsidP="00C77A5B">
      <w:pPr>
        <w:jc w:val="center"/>
      </w:pPr>
      <w:r>
        <w:t>Plungė</w:t>
      </w:r>
    </w:p>
    <w:p w:rsidR="00AA6752" w:rsidRPr="004404CF" w:rsidRDefault="00AA6752" w:rsidP="005F6FE4">
      <w:pPr>
        <w:ind w:firstLine="720"/>
        <w:jc w:val="both"/>
      </w:pPr>
    </w:p>
    <w:p w:rsidR="004E6529" w:rsidRDefault="004E6529" w:rsidP="00B73E21">
      <w:pPr>
        <w:ind w:firstLine="720"/>
        <w:jc w:val="both"/>
      </w:pPr>
      <w:r w:rsidRPr="00717BA6">
        <w:t>Vadovaudamasi Lietuvos Respublikos vietos savivaldos įstatymo 16</w:t>
      </w:r>
      <w:r w:rsidR="00496464">
        <w:t xml:space="preserve"> straipsnio 2 dalies 26 punktu bei atsižvelgdama į 2020 m. sausio 20 d. partnerystės sutarties </w:t>
      </w:r>
      <w:r w:rsidR="00A14EC4" w:rsidRPr="00A14EC4">
        <w:t xml:space="preserve">Nr. VL21-12/A1-4 su </w:t>
      </w:r>
      <w:r w:rsidR="00A14EC4">
        <w:t>VšĮ „Versli L</w:t>
      </w:r>
      <w:r w:rsidR="00A14EC4" w:rsidRPr="00A14EC4">
        <w:t>ietuva“</w:t>
      </w:r>
      <w:r w:rsidR="00A14EC4">
        <w:t xml:space="preserve"> 6</w:t>
      </w:r>
      <w:r w:rsidR="007160A2">
        <w:t>.</w:t>
      </w:r>
      <w:r w:rsidR="00A14EC4">
        <w:t>2, 6</w:t>
      </w:r>
      <w:r w:rsidR="007160A2">
        <w:t>.</w:t>
      </w:r>
      <w:r w:rsidR="00A14EC4">
        <w:t>3 punktus</w:t>
      </w:r>
      <w:r w:rsidRPr="00717BA6">
        <w:t xml:space="preserve">, Plungės rajono savivaldybės taryba </w:t>
      </w:r>
      <w:r w:rsidRPr="00717BA6">
        <w:rPr>
          <w:spacing w:val="40"/>
        </w:rPr>
        <w:t>nusprendžia</w:t>
      </w:r>
      <w:r w:rsidRPr="00717BA6">
        <w:t>:</w:t>
      </w:r>
      <w:r w:rsidR="0051767B">
        <w:t xml:space="preserve"> </w:t>
      </w:r>
    </w:p>
    <w:p w:rsidR="00036DDC" w:rsidRDefault="004E6529" w:rsidP="00B73E21">
      <w:pPr>
        <w:ind w:firstLine="720"/>
        <w:jc w:val="both"/>
      </w:pPr>
      <w:r w:rsidRPr="00717BA6">
        <w:t xml:space="preserve">1. </w:t>
      </w:r>
      <w:r w:rsidR="00942A1B">
        <w:t xml:space="preserve">Sutikti </w:t>
      </w:r>
      <w:r w:rsidR="00FF0A8A">
        <w:t>p</w:t>
      </w:r>
      <w:r w:rsidR="00A1775A">
        <w:t>riimti</w:t>
      </w:r>
      <w:r w:rsidR="00942A1B">
        <w:t xml:space="preserve"> </w:t>
      </w:r>
      <w:r w:rsidR="0051767B">
        <w:t xml:space="preserve">panaudos teise </w:t>
      </w:r>
      <w:r w:rsidR="00EC1F50">
        <w:t>viešajai įstaigai</w:t>
      </w:r>
      <w:r w:rsidR="0051767B">
        <w:t xml:space="preserve"> „Versli Lietuva“ nuosavybės teise </w:t>
      </w:r>
      <w:r w:rsidR="0051767B" w:rsidRPr="009B66D5">
        <w:t>priklausantį</w:t>
      </w:r>
      <w:r w:rsidR="0051767B">
        <w:t>, šios įstaigos įgyvendinat bendradarbystės centro „Spiečius“ steigimo projektą</w:t>
      </w:r>
      <w:r w:rsidR="00036DDC" w:rsidRPr="00036DDC">
        <w:t xml:space="preserve"> </w:t>
      </w:r>
      <w:r w:rsidR="00036DDC">
        <w:t>sukurtą</w:t>
      </w:r>
      <w:r w:rsidR="0051767B">
        <w:t xml:space="preserve">, </w:t>
      </w:r>
      <w:r w:rsidR="0051767B" w:rsidRPr="009B66D5">
        <w:t>turtą</w:t>
      </w:r>
      <w:r w:rsidR="0051767B">
        <w:t xml:space="preserve"> </w:t>
      </w:r>
      <w:r w:rsidR="00942A1B">
        <w:t xml:space="preserve">ir </w:t>
      </w:r>
      <w:r w:rsidR="0051767B">
        <w:t xml:space="preserve">pavesti </w:t>
      </w:r>
      <w:r w:rsidR="00036DDC">
        <w:t xml:space="preserve"> </w:t>
      </w:r>
      <w:r w:rsidR="00942A1B">
        <w:t xml:space="preserve">Plungės rajono savivaldybės administracijai </w:t>
      </w:r>
      <w:r w:rsidR="00A1775A">
        <w:t>nuo 2022 m. sausio 1 d. iki 2026 m. gruodžio 31 d</w:t>
      </w:r>
      <w:r w:rsidR="009B66D5">
        <w:t xml:space="preserve">. </w:t>
      </w:r>
      <w:r w:rsidR="0030467E">
        <w:t xml:space="preserve">valdyti </w:t>
      </w:r>
      <w:r w:rsidR="00036DDC">
        <w:t xml:space="preserve">jį, nustatant, kad turtas bus naudojamas bendradarbystės centro „Spiečius“ paslaugoms teikti (turto sąrašas – sprendimo priede). </w:t>
      </w:r>
    </w:p>
    <w:p w:rsidR="004E6529" w:rsidRDefault="00FF0A8A" w:rsidP="00B73E21">
      <w:pPr>
        <w:tabs>
          <w:tab w:val="num" w:pos="-3261"/>
          <w:tab w:val="left" w:pos="709"/>
        </w:tabs>
        <w:ind w:firstLine="720"/>
        <w:jc w:val="both"/>
      </w:pPr>
      <w:r>
        <w:t>2</w:t>
      </w:r>
      <w:r w:rsidR="004E6529" w:rsidRPr="00717BA6">
        <w:t xml:space="preserve">. Įgalioti Plungės rajono savivaldybės administracijos direktorių, o jo nesant – Administracijos direktoriaus pavaduotoją pasirašyti sprendimo </w:t>
      </w:r>
      <w:r w:rsidR="006D1057">
        <w:t xml:space="preserve">1 </w:t>
      </w:r>
      <w:r w:rsidR="004E6529" w:rsidRPr="00717BA6">
        <w:t xml:space="preserve">punkte nurodyto turto </w:t>
      </w:r>
      <w:r w:rsidR="000E423E">
        <w:t>panaudos sutart</w:t>
      </w:r>
      <w:r w:rsidR="00E26A48">
        <w:t>į</w:t>
      </w:r>
      <w:r w:rsidR="000E423E">
        <w:t xml:space="preserve">  ir </w:t>
      </w:r>
      <w:r w:rsidR="00E26A48">
        <w:t>VšĮ „Versli Lietuva“</w:t>
      </w:r>
      <w:r w:rsidR="000E423E">
        <w:t xml:space="preserve"> turto, </w:t>
      </w:r>
      <w:r w:rsidR="00E26A48">
        <w:t>priimamo</w:t>
      </w:r>
      <w:r w:rsidR="000E423E">
        <w:t xml:space="preserve"> pagal panaudos sutart</w:t>
      </w:r>
      <w:r w:rsidR="00E26A48">
        <w:t>į</w:t>
      </w:r>
      <w:r w:rsidR="000E423E">
        <w:t>, perdavimo - priėmimo akt</w:t>
      </w:r>
      <w:r w:rsidR="00E26A48">
        <w:t>ą</w:t>
      </w:r>
      <w:r w:rsidR="004E6529" w:rsidRPr="00717BA6">
        <w:t>.</w:t>
      </w:r>
    </w:p>
    <w:p w:rsidR="00AA6752" w:rsidRDefault="004E6529" w:rsidP="003A246B">
      <w:pPr>
        <w:jc w:val="both"/>
      </w:pPr>
      <w:r w:rsidRPr="00717BA6">
        <w:t xml:space="preserve">           </w:t>
      </w:r>
      <w:r w:rsidR="00A14933" w:rsidRPr="004404CF">
        <w:t xml:space="preserve">  </w:t>
      </w:r>
    </w:p>
    <w:p w:rsidR="002A3DEF" w:rsidRPr="00B80267" w:rsidRDefault="002A3DEF" w:rsidP="003A246B">
      <w:pPr>
        <w:jc w:val="both"/>
      </w:pPr>
    </w:p>
    <w:p w:rsidR="002F1DAF" w:rsidRDefault="00C64B61" w:rsidP="002F2C52">
      <w:pPr>
        <w:tabs>
          <w:tab w:val="left" w:pos="7938"/>
        </w:tabs>
        <w:jc w:val="both"/>
      </w:pPr>
      <w:r w:rsidRPr="00325A98">
        <w:t>Savivaldybės meras</w:t>
      </w:r>
      <w:r w:rsidR="002F2C52">
        <w:t xml:space="preserve"> </w:t>
      </w:r>
      <w:r w:rsidR="002F2C52">
        <w:tab/>
        <w:t>Audrius Klišonis</w:t>
      </w:r>
    </w:p>
    <w:p w:rsidR="002F2C52" w:rsidRDefault="002F2C52">
      <w:r>
        <w:br w:type="page"/>
      </w:r>
    </w:p>
    <w:p w:rsidR="00B73E21" w:rsidRDefault="00976D31" w:rsidP="00B73E21">
      <w:pPr>
        <w:ind w:left="5760" w:firstLine="720"/>
      </w:pPr>
      <w:r>
        <w:lastRenderedPageBreak/>
        <w:t>Plungės rajono savivaldybės</w:t>
      </w:r>
    </w:p>
    <w:p w:rsidR="00B73E21" w:rsidRDefault="00976D31" w:rsidP="00B73E21">
      <w:pPr>
        <w:ind w:left="5760" w:firstLine="720"/>
      </w:pPr>
      <w:r>
        <w:t xml:space="preserve">tarybos </w:t>
      </w:r>
      <w:r w:rsidRPr="004539A2">
        <w:t>20</w:t>
      </w:r>
      <w:r w:rsidR="003A75D9">
        <w:t>21</w:t>
      </w:r>
      <w:r w:rsidRPr="004539A2">
        <w:t xml:space="preserve"> m. </w:t>
      </w:r>
      <w:r w:rsidR="002A3DEF">
        <w:t>gruodžio</w:t>
      </w:r>
      <w:r w:rsidR="003A75D9">
        <w:t xml:space="preserve"> 2</w:t>
      </w:r>
      <w:r w:rsidR="00EC1F50">
        <w:t>7</w:t>
      </w:r>
      <w:r>
        <w:t xml:space="preserve"> </w:t>
      </w:r>
      <w:r w:rsidRPr="004539A2">
        <w:t>d.</w:t>
      </w:r>
    </w:p>
    <w:p w:rsidR="00B73E21" w:rsidRDefault="00976D31" w:rsidP="00B73E21">
      <w:pPr>
        <w:ind w:left="5760" w:firstLine="720"/>
      </w:pPr>
      <w:r>
        <w:t>sprendimo Nr. T1-</w:t>
      </w:r>
      <w:r w:rsidR="001063B0">
        <w:t>338</w:t>
      </w:r>
      <w:bookmarkStart w:id="0" w:name="_GoBack"/>
      <w:bookmarkEnd w:id="0"/>
    </w:p>
    <w:p w:rsidR="00976D31" w:rsidRDefault="00976D31" w:rsidP="00B73E21">
      <w:pPr>
        <w:ind w:left="5760" w:firstLine="720"/>
      </w:pPr>
      <w:r>
        <w:t>priedas</w:t>
      </w:r>
    </w:p>
    <w:p w:rsidR="00DE3EE8" w:rsidRDefault="00DE3EE8" w:rsidP="00976D31">
      <w:pPr>
        <w:jc w:val="center"/>
      </w:pPr>
    </w:p>
    <w:p w:rsidR="00325A98" w:rsidRPr="00B80267" w:rsidRDefault="00E26A48" w:rsidP="00DF3E4C">
      <w:pPr>
        <w:jc w:val="center"/>
      </w:pPr>
      <w:r w:rsidRPr="00EC1F50">
        <w:rPr>
          <w:b/>
          <w:caps/>
        </w:rPr>
        <w:t>PRIIMAMO</w:t>
      </w:r>
      <w:r w:rsidR="00325A98" w:rsidRPr="00EC1F50">
        <w:rPr>
          <w:b/>
          <w:caps/>
        </w:rPr>
        <w:t xml:space="preserve"> </w:t>
      </w:r>
      <w:r w:rsidR="004A548E" w:rsidRPr="00EC1F50">
        <w:rPr>
          <w:b/>
          <w:caps/>
        </w:rPr>
        <w:t>PANAUDOS</w:t>
      </w:r>
      <w:r w:rsidR="004A548E">
        <w:rPr>
          <w:b/>
          <w:caps/>
        </w:rPr>
        <w:t xml:space="preserve"> TEISE </w:t>
      </w:r>
      <w:r w:rsidR="00325A98" w:rsidRPr="000F6855">
        <w:rPr>
          <w:b/>
          <w:caps/>
        </w:rPr>
        <w:t xml:space="preserve">TURTO, </w:t>
      </w:r>
      <w:r>
        <w:rPr>
          <w:b/>
          <w:caps/>
        </w:rPr>
        <w:t xml:space="preserve">SUKURTO </w:t>
      </w:r>
      <w:r w:rsidRPr="00E26A48">
        <w:rPr>
          <w:b/>
          <w:caps/>
        </w:rPr>
        <w:t xml:space="preserve">VšĮ „Versli Lietuva“ įgyvendinat bendradarbystės centro „Spiečius“ </w:t>
      </w:r>
      <w:r w:rsidR="00811991">
        <w:rPr>
          <w:b/>
          <w:caps/>
        </w:rPr>
        <w:t>STEIGIMO</w:t>
      </w:r>
      <w:r w:rsidR="00811991" w:rsidRPr="00E26A48">
        <w:rPr>
          <w:b/>
          <w:caps/>
        </w:rPr>
        <w:t xml:space="preserve"> </w:t>
      </w:r>
      <w:r w:rsidRPr="00E26A48">
        <w:rPr>
          <w:b/>
          <w:caps/>
        </w:rPr>
        <w:t>projektą</w:t>
      </w:r>
      <w:r w:rsidR="00AA3627" w:rsidRPr="00AA3627">
        <w:rPr>
          <w:b/>
        </w:rPr>
        <w:t>, SĄ</w:t>
      </w:r>
      <w:r w:rsidR="00325A98" w:rsidRPr="000F6855">
        <w:rPr>
          <w:b/>
          <w:caps/>
        </w:rPr>
        <w:t>RAŠAS</w:t>
      </w:r>
    </w:p>
    <w:p w:rsidR="00976D31" w:rsidRDefault="00976D31" w:rsidP="00976D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614"/>
        <w:gridCol w:w="975"/>
        <w:gridCol w:w="1013"/>
        <w:gridCol w:w="1221"/>
        <w:gridCol w:w="1461"/>
      </w:tblGrid>
      <w:tr w:rsidR="006F5AD7" w:rsidRPr="006F5AD7" w:rsidTr="00B73E21">
        <w:trPr>
          <w:trHeight w:val="548"/>
        </w:trPr>
        <w:tc>
          <w:tcPr>
            <w:tcW w:w="570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Eil. Nr.</w:t>
            </w:r>
          </w:p>
        </w:tc>
        <w:tc>
          <w:tcPr>
            <w:tcW w:w="4614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Prekė/vertybė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Mato</w:t>
            </w:r>
            <w:r w:rsidRPr="003718C4">
              <w:rPr>
                <w:b/>
                <w:bCs/>
              </w:rPr>
              <w:br/>
              <w:t>vnt.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Kiekis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Kaina vnt., EUR su PVM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F5AD7" w:rsidRPr="003718C4" w:rsidRDefault="006F5AD7" w:rsidP="00B73E21">
            <w:pPr>
              <w:jc w:val="center"/>
              <w:rPr>
                <w:b/>
                <w:bCs/>
              </w:rPr>
            </w:pPr>
            <w:r w:rsidRPr="003718C4">
              <w:rPr>
                <w:b/>
                <w:bCs/>
              </w:rPr>
              <w:t>Bendra kaina, EUR su PVM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 xml:space="preserve">viejų </w:t>
            </w:r>
            <w:proofErr w:type="spellStart"/>
            <w:r w:rsidRPr="006F5AD7">
              <w:t>d.v</w:t>
            </w:r>
            <w:proofErr w:type="spellEnd"/>
            <w:r w:rsidRPr="006F5AD7">
              <w:t>. stalų junginys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289,13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578,26</w:t>
            </w:r>
          </w:p>
        </w:tc>
      </w:tr>
      <w:tr w:rsidR="006F5AD7" w:rsidRPr="006F5AD7" w:rsidTr="00B73E21">
        <w:trPr>
          <w:trHeight w:val="21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>arbo stalas su kojų uždanga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217,26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434,51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P</w:t>
            </w:r>
            <w:r w:rsidRPr="006F5AD7">
              <w:t>osėdžių stalas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217,26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217,26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K</w:t>
            </w:r>
            <w:r w:rsidRPr="006F5AD7">
              <w:t>anceliarinė spinta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124,15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124,15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5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>rabužių spinta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176,42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176,42</w:t>
            </w:r>
          </w:p>
        </w:tc>
      </w:tr>
      <w:tr w:rsidR="006F5AD7" w:rsidRPr="006F5AD7" w:rsidTr="003718C4">
        <w:trPr>
          <w:trHeight w:val="5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V</w:t>
            </w:r>
            <w:r w:rsidRPr="006F5AD7">
              <w:t xml:space="preserve">ienviečio minkštasuolio pagrindas su atlošu bei </w:t>
            </w:r>
            <w:proofErr w:type="spellStart"/>
            <w:r w:rsidRPr="006F5AD7">
              <w:t>porankiu</w:t>
            </w:r>
            <w:proofErr w:type="spellEnd"/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457,38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457,38</w:t>
            </w:r>
          </w:p>
        </w:tc>
      </w:tr>
      <w:tr w:rsidR="006F5AD7" w:rsidRPr="006F5AD7" w:rsidTr="003718C4">
        <w:trPr>
          <w:trHeight w:val="5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7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Projektorius Epson EB-FH52 (V11H978040) X8AE0701599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499,73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499,73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P</w:t>
            </w:r>
            <w:r w:rsidRPr="006F5AD7">
              <w:t>agalvėlės nr.14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192,75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192,75</w:t>
            </w:r>
          </w:p>
        </w:tc>
      </w:tr>
      <w:tr w:rsidR="006F5AD7" w:rsidRPr="006F5AD7" w:rsidTr="003718C4">
        <w:trPr>
          <w:trHeight w:val="39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Minkštasuolio praaukštinimai N</w:t>
            </w:r>
            <w:r w:rsidRPr="006F5AD7">
              <w:t>r.16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374,07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374,07</w:t>
            </w:r>
          </w:p>
        </w:tc>
      </w:tr>
      <w:tr w:rsidR="006F5AD7" w:rsidRPr="006F5AD7" w:rsidTr="003718C4">
        <w:trPr>
          <w:trHeight w:val="5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 xml:space="preserve">viviečio minkštasuolio pagrindas su atlošu bei </w:t>
            </w:r>
            <w:proofErr w:type="spellStart"/>
            <w:r w:rsidRPr="006F5AD7">
              <w:t>porankiu</w:t>
            </w:r>
            <w:proofErr w:type="spellEnd"/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499,99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499,99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P</w:t>
            </w:r>
            <w:r w:rsidRPr="006F5AD7">
              <w:t>agalvėlės nr.18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450,70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450,70</w:t>
            </w:r>
          </w:p>
        </w:tc>
      </w:tr>
      <w:tr w:rsidR="006F5AD7" w:rsidRPr="006F5AD7" w:rsidTr="00B73E21">
        <w:trPr>
          <w:trHeight w:val="16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M</w:t>
            </w:r>
            <w:r w:rsidRPr="006F5AD7">
              <w:t>inkštasuolio praaukštinimai nr.20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452,48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452,48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A</w:t>
            </w:r>
            <w:r w:rsidRPr="006F5AD7">
              <w:t>kustinė pertvara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205,82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823,28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L</w:t>
            </w:r>
            <w:r w:rsidRPr="006F5AD7">
              <w:t>ankytojo kėdė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40,000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109,45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4377,80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N</w:t>
            </w:r>
            <w:r w:rsidRPr="006F5AD7">
              <w:t>ešiojamas kavos staliukas (baltas)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124,15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248,29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16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>aiktų saugojimo spintelė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182,95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731,81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R</w:t>
            </w:r>
            <w:r w:rsidRPr="006F5AD7">
              <w:t>ūbų kabykla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104,54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313,63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18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A</w:t>
            </w:r>
            <w:r w:rsidR="00B73E21">
              <w:t xml:space="preserve">pvalus </w:t>
            </w:r>
            <w:proofErr w:type="spellStart"/>
            <w:r w:rsidR="00B73E21">
              <w:t>pufas</w:t>
            </w:r>
            <w:proofErr w:type="spellEnd"/>
            <w:r w:rsidR="00B73E21">
              <w:t xml:space="preserve">  N</w:t>
            </w:r>
            <w:r w:rsidRPr="006F5AD7">
              <w:t>r.10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5,000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80,04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400,21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19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A</w:t>
            </w:r>
            <w:r w:rsidRPr="006F5AD7">
              <w:t>pvalu</w:t>
            </w:r>
            <w:r w:rsidR="00B73E21">
              <w:t xml:space="preserve">s </w:t>
            </w:r>
            <w:proofErr w:type="spellStart"/>
            <w:r w:rsidR="00B73E21">
              <w:t>pufas</w:t>
            </w:r>
            <w:proofErr w:type="spellEnd"/>
            <w:r w:rsidR="00B73E21">
              <w:t xml:space="preserve">  N</w:t>
            </w:r>
            <w:r w:rsidRPr="006F5AD7">
              <w:t>r.11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107,81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107,81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20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P</w:t>
            </w:r>
            <w:r w:rsidRPr="006F5AD7">
              <w:t>ertvara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99,65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199,29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S</w:t>
            </w:r>
            <w:r w:rsidRPr="006F5AD7">
              <w:t>pintelė daiktų laikymui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99,64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99,64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M</w:t>
            </w:r>
            <w:r w:rsidRPr="006F5AD7">
              <w:t>agnetinė lenta su stovu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112,71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112,71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proofErr w:type="spellStart"/>
            <w:r>
              <w:t>S</w:t>
            </w:r>
            <w:r w:rsidRPr="006F5AD7">
              <w:t>ėdmaišiai</w:t>
            </w:r>
            <w:proofErr w:type="spellEnd"/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187,86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375,71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>
              <w:t>D</w:t>
            </w:r>
            <w:r w:rsidRPr="006F5AD7">
              <w:t>arbo kėdė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237,16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1422,96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25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Klaviatūros ir pelės laidinė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6,05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36,30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26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Monitorius Dell E2720HS 27 ", IPS, FHD, 1920 x 1080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27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Monitorius Dell E2720HS 27 ", IPS, FHD, 1920 x 1080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28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Monitorius Dell E2720HS 27 ", IPS, FHD, 1920 x 1080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157,3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29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Ekranas (</w:t>
            </w:r>
            <w:proofErr w:type="spellStart"/>
            <w:r w:rsidRPr="006F5AD7">
              <w:t>philips</w:t>
            </w:r>
            <w:proofErr w:type="spellEnd"/>
            <w:r w:rsidRPr="006F5AD7">
              <w:t xml:space="preserve">) 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169,40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508,2</w:t>
            </w:r>
          </w:p>
        </w:tc>
      </w:tr>
      <w:tr w:rsidR="006F5AD7" w:rsidRPr="006F5AD7" w:rsidTr="003718C4">
        <w:trPr>
          <w:trHeight w:val="465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30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Ausinės 126-13 Ausinės </w:t>
            </w:r>
            <w:proofErr w:type="spellStart"/>
            <w:r w:rsidRPr="006F5AD7">
              <w:t>Sandberg</w:t>
            </w:r>
            <w:proofErr w:type="spellEnd"/>
            <w:r w:rsidRPr="006F5AD7">
              <w:t xml:space="preserve"> USB Office </w:t>
            </w:r>
            <w:proofErr w:type="spellStart"/>
            <w:r w:rsidRPr="006F5AD7">
              <w:t>Headset</w:t>
            </w:r>
            <w:proofErr w:type="spellEnd"/>
            <w:r w:rsidRPr="006F5AD7">
              <w:t xml:space="preserve"> Pro </w:t>
            </w:r>
            <w:proofErr w:type="spellStart"/>
            <w:r w:rsidRPr="006F5AD7">
              <w:t>Stereo</w:t>
            </w:r>
            <w:proofErr w:type="spellEnd"/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42,50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42,50</w:t>
            </w:r>
          </w:p>
        </w:tc>
      </w:tr>
      <w:tr w:rsidR="006F5AD7" w:rsidRPr="006F5AD7" w:rsidTr="003718C4">
        <w:trPr>
          <w:trHeight w:val="615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lastRenderedPageBreak/>
              <w:t>31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Ausinės 126-13 Ausinės </w:t>
            </w:r>
            <w:proofErr w:type="spellStart"/>
            <w:r w:rsidRPr="006F5AD7">
              <w:t>Sandberg</w:t>
            </w:r>
            <w:proofErr w:type="spellEnd"/>
            <w:r w:rsidRPr="006F5AD7">
              <w:t xml:space="preserve"> USB Office </w:t>
            </w:r>
            <w:proofErr w:type="spellStart"/>
            <w:r w:rsidRPr="006F5AD7">
              <w:t>Headset</w:t>
            </w:r>
            <w:proofErr w:type="spellEnd"/>
            <w:r w:rsidRPr="006F5AD7">
              <w:t xml:space="preserve"> Pro </w:t>
            </w:r>
            <w:proofErr w:type="spellStart"/>
            <w:r w:rsidRPr="006F5AD7">
              <w:t>Stereo</w:t>
            </w:r>
            <w:proofErr w:type="spellEnd"/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42,50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42,50</w:t>
            </w:r>
          </w:p>
        </w:tc>
      </w:tr>
      <w:tr w:rsidR="006F5AD7" w:rsidRPr="006F5AD7" w:rsidTr="003718C4">
        <w:trPr>
          <w:trHeight w:val="27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Karšto vandens </w:t>
            </w:r>
            <w:proofErr w:type="spellStart"/>
            <w:r w:rsidRPr="006F5AD7">
              <w:t>dispenseris</w:t>
            </w:r>
            <w:proofErr w:type="spellEnd"/>
            <w:r w:rsidRPr="006F5AD7">
              <w:t xml:space="preserve"> CASO HW 500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100,00</w:t>
            </w:r>
          </w:p>
        </w:tc>
      </w:tr>
      <w:tr w:rsidR="006F5AD7" w:rsidRPr="006F5AD7" w:rsidTr="003718C4">
        <w:trPr>
          <w:trHeight w:val="555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proofErr w:type="spellStart"/>
            <w:r w:rsidRPr="006F5AD7">
              <w:t>Elonas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Muskas</w:t>
            </w:r>
            <w:proofErr w:type="spellEnd"/>
            <w:r w:rsidRPr="006F5AD7">
              <w:t>: „</w:t>
            </w:r>
            <w:proofErr w:type="spellStart"/>
            <w:r w:rsidRPr="006F5AD7">
              <w:t>Tesla</w:t>
            </w:r>
            <w:proofErr w:type="spellEnd"/>
            <w:r w:rsidRPr="006F5AD7">
              <w:t>“, „</w:t>
            </w:r>
            <w:proofErr w:type="spellStart"/>
            <w:r w:rsidRPr="006F5AD7">
              <w:t>SpaceX</w:t>
            </w:r>
            <w:proofErr w:type="spellEnd"/>
            <w:r w:rsidRPr="006F5AD7">
              <w:t>“ ir fantastinės ateities paieškos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11,75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11,75</w:t>
            </w:r>
          </w:p>
        </w:tc>
      </w:tr>
      <w:tr w:rsidR="006F5AD7" w:rsidRPr="006F5AD7" w:rsidTr="00B73E21">
        <w:trPr>
          <w:trHeight w:val="363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Batų vilkas (minkšti viršeliai)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12,47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12,47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35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7 efektyviai veikiančių žmonių įpročiai. Galingos asmenybės pokyčių pamokos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8,76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8,76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36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4 valandų darbo savaitė: kaip nedirbti nuo 9 iki 17 val., gyventi kur tik nori ir tapti naujuoju turtuoliu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7,01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7,01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37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Turtingas tėtis, vargšas tėtis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11,51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11,51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38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Boso valanda. Kasdienė šiuolaikinio vadovo knyga: kaip vadovauti</w:t>
            </w:r>
            <w:r w:rsidR="00B73E21">
              <w:t xml:space="preserve"> </w:t>
            </w:r>
            <w:r w:rsidRPr="006F5AD7">
              <w:t>žmonėms?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9,78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9,78</w:t>
            </w:r>
          </w:p>
        </w:tc>
      </w:tr>
      <w:tr w:rsidR="006F5AD7" w:rsidRPr="006F5AD7" w:rsidTr="003718C4">
        <w:trPr>
          <w:trHeight w:val="123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39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proofErr w:type="spellStart"/>
            <w:r w:rsidRPr="006F5AD7">
              <w:t>Storytelling</w:t>
            </w:r>
            <w:proofErr w:type="spellEnd"/>
            <w:r w:rsidRPr="006F5AD7">
              <w:t>. Pasakojimo meistrystė: „</w:t>
            </w:r>
            <w:proofErr w:type="spellStart"/>
            <w:r w:rsidRPr="006F5AD7">
              <w:t>Washington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Post</w:t>
            </w:r>
            <w:proofErr w:type="spellEnd"/>
            <w:r w:rsidRPr="006F5AD7">
              <w:t>“</w:t>
            </w:r>
            <w:r w:rsidR="00B73E21">
              <w:t xml:space="preserve"> </w:t>
            </w:r>
            <w:r w:rsidRPr="006F5AD7">
              <w:t>bestseleris, skirtas norintiems pavergti ir sužavėti auditoriją, nes</w:t>
            </w:r>
            <w:r w:rsidR="00B73E21">
              <w:t xml:space="preserve"> </w:t>
            </w:r>
            <w:r w:rsidRPr="006F5AD7">
              <w:t>nieko nėra galingesnio už talentingai papasakotą gerą istoriją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12,95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12,95</w:t>
            </w:r>
          </w:p>
        </w:tc>
      </w:tr>
      <w:tr w:rsidR="006F5AD7" w:rsidRPr="006F5AD7" w:rsidTr="00B73E21">
        <w:trPr>
          <w:trHeight w:val="257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40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proofErr w:type="spellStart"/>
            <w:r w:rsidRPr="006F5AD7">
              <w:t>Start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with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Why</w:t>
            </w:r>
            <w:proofErr w:type="spellEnd"/>
            <w:r w:rsidRPr="006F5AD7">
              <w:t xml:space="preserve">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14,79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14,79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TED </w:t>
            </w:r>
            <w:proofErr w:type="spellStart"/>
            <w:r w:rsidRPr="006F5AD7">
              <w:t>Talks</w:t>
            </w:r>
            <w:proofErr w:type="spellEnd"/>
            <w:r w:rsidRPr="006F5AD7">
              <w:t xml:space="preserve">: </w:t>
            </w:r>
            <w:proofErr w:type="spellStart"/>
            <w:r w:rsidRPr="006F5AD7">
              <w:t>The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official</w:t>
            </w:r>
            <w:proofErr w:type="spellEnd"/>
            <w:r w:rsidRPr="006F5AD7">
              <w:t xml:space="preserve"> TED </w:t>
            </w:r>
            <w:proofErr w:type="spellStart"/>
            <w:r w:rsidRPr="006F5AD7">
              <w:t>guide</w:t>
            </w:r>
            <w:proofErr w:type="spellEnd"/>
            <w:r w:rsidRPr="006F5AD7">
              <w:t xml:space="preserve"> to </w:t>
            </w:r>
            <w:proofErr w:type="spellStart"/>
            <w:r w:rsidRPr="006F5AD7">
              <w:t>public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speaking</w:t>
            </w:r>
            <w:proofErr w:type="spellEnd"/>
            <w:r w:rsidRPr="006F5AD7">
              <w:t xml:space="preserve">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12,89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12,89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ŽMOGAUS RIBOS: kodėl universalai triumfuoja specializuotame</w:t>
            </w:r>
            <w:r w:rsidR="00B73E21">
              <w:t xml:space="preserve"> </w:t>
            </w:r>
            <w:r w:rsidRPr="006F5AD7">
              <w:t>pasaulyje 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6,79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6,79</w:t>
            </w:r>
          </w:p>
        </w:tc>
      </w:tr>
      <w:tr w:rsidR="006F5AD7" w:rsidRPr="006F5AD7" w:rsidTr="00B73E21">
        <w:trPr>
          <w:trHeight w:val="238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proofErr w:type="spellStart"/>
            <w:r w:rsidRPr="006F5AD7">
              <w:t>Business</w:t>
            </w:r>
            <w:proofErr w:type="spellEnd"/>
            <w:r w:rsidRPr="006F5AD7">
              <w:t xml:space="preserve"> </w:t>
            </w:r>
            <w:proofErr w:type="spellStart"/>
            <w:r w:rsidRPr="006F5AD7">
              <w:t>Adventures</w:t>
            </w:r>
            <w:proofErr w:type="spellEnd"/>
            <w:r w:rsidRPr="006F5AD7">
              <w:t xml:space="preserve"> (Knygos)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17,19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17,19</w:t>
            </w:r>
          </w:p>
        </w:tc>
      </w:tr>
      <w:tr w:rsidR="006F5AD7" w:rsidRPr="006F5AD7" w:rsidTr="00B73E21">
        <w:trPr>
          <w:trHeight w:val="241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proofErr w:type="spellStart"/>
            <w:r w:rsidRPr="006F5AD7">
              <w:t>Good</w:t>
            </w:r>
            <w:proofErr w:type="spellEnd"/>
            <w:r w:rsidRPr="006F5AD7">
              <w:t xml:space="preserve"> to </w:t>
            </w:r>
            <w:proofErr w:type="spellStart"/>
            <w:r w:rsidRPr="006F5AD7">
              <w:t>Great</w:t>
            </w:r>
            <w:proofErr w:type="spellEnd"/>
            <w:r w:rsidRPr="006F5AD7">
              <w:t xml:space="preserve"> (Knygos)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28,99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28,99</w:t>
            </w:r>
          </w:p>
        </w:tc>
      </w:tr>
      <w:tr w:rsidR="006F5AD7" w:rsidRPr="006F5AD7" w:rsidTr="00B73E21">
        <w:trPr>
          <w:trHeight w:val="232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45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IP kamera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314,39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314,39</w:t>
            </w:r>
          </w:p>
        </w:tc>
      </w:tr>
      <w:tr w:rsidR="006F5AD7" w:rsidRPr="006F5AD7" w:rsidTr="00B73E21">
        <w:trPr>
          <w:trHeight w:val="235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46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SP kamera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481,59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481,59</w:t>
            </w:r>
          </w:p>
        </w:tc>
      </w:tr>
      <w:tr w:rsidR="006F5AD7" w:rsidRPr="006F5AD7" w:rsidTr="00B73E21">
        <w:trPr>
          <w:trHeight w:val="226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47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SP monitorius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347,61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347,61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48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Nešiojamas kavos staliukas (medžio spalvos) 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152,45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152,45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49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Pakabinamos lentynėlės. Gintarinio</w:t>
            </w:r>
            <w:r w:rsidRPr="006F5AD7">
              <w:br/>
              <w:t>ąžuolo LMDP.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120,03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240,06</w:t>
            </w:r>
          </w:p>
        </w:tc>
      </w:tr>
      <w:tr w:rsidR="006F5AD7" w:rsidRPr="006F5AD7" w:rsidTr="00B73E21">
        <w:trPr>
          <w:trHeight w:val="276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5</w:t>
            </w:r>
            <w:r w:rsidR="00B73E21">
              <w:t>0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Dirbtinis augalas su plastikiniu vazonėliu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30,25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30,25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51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Akustinis paveikslas ant sienos iš atskirų panelių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339,38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339,38</w:t>
            </w:r>
          </w:p>
        </w:tc>
      </w:tr>
      <w:tr w:rsidR="006F5AD7" w:rsidRPr="006F5AD7" w:rsidTr="003718C4">
        <w:trPr>
          <w:trHeight w:val="529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52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Pertvara 800 mm kraštinei. Gobelenas GS9 melsvas </w:t>
            </w:r>
            <w:proofErr w:type="spellStart"/>
            <w:r w:rsidRPr="006F5AD7">
              <w:t>melanžas</w:t>
            </w:r>
            <w:proofErr w:type="spellEnd"/>
            <w:r w:rsidRPr="006F5AD7">
              <w:t>, metalinės, dalys- juoda.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2,000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80,10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160,20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B73E21" w:rsidP="006F5AD7">
            <w:r>
              <w:t>53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 xml:space="preserve">Pertvara 1600 mm kraštinei. Gobelenas GS9 melsvas </w:t>
            </w:r>
            <w:proofErr w:type="spellStart"/>
            <w:r w:rsidRPr="006F5AD7">
              <w:t>melanžas</w:t>
            </w:r>
            <w:proofErr w:type="spellEnd"/>
            <w:r w:rsidRPr="006F5AD7">
              <w:t>,</w:t>
            </w:r>
            <w:r w:rsidRPr="006F5AD7">
              <w:br/>
              <w:t>metalinės dalys- juoda.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127,78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127,78</w:t>
            </w:r>
          </w:p>
        </w:tc>
      </w:tr>
      <w:tr w:rsidR="006F5AD7" w:rsidRPr="006F5AD7" w:rsidTr="003718C4">
        <w:trPr>
          <w:trHeight w:val="480"/>
        </w:trPr>
        <w:tc>
          <w:tcPr>
            <w:tcW w:w="570" w:type="dxa"/>
            <w:shd w:val="clear" w:color="auto" w:fill="auto"/>
            <w:hideMark/>
          </w:tcPr>
          <w:p w:rsidR="006F5AD7" w:rsidRPr="006F5AD7" w:rsidRDefault="006F5AD7" w:rsidP="00B73E21">
            <w:r w:rsidRPr="006F5AD7">
              <w:t>5</w:t>
            </w:r>
            <w:r w:rsidR="00B73E21">
              <w:t>4</w:t>
            </w:r>
          </w:p>
        </w:tc>
        <w:tc>
          <w:tcPr>
            <w:tcW w:w="4614" w:type="dxa"/>
            <w:shd w:val="clear" w:color="auto" w:fill="auto"/>
            <w:hideMark/>
          </w:tcPr>
          <w:p w:rsidR="006F5AD7" w:rsidRPr="006F5AD7" w:rsidRDefault="006F5AD7">
            <w:r w:rsidRPr="006F5AD7">
              <w:t>Spintelė daiktų laikymui ant ratukų ,rakinama.</w:t>
            </w:r>
            <w:r w:rsidR="00B73E21">
              <w:t xml:space="preserve"> </w:t>
            </w:r>
            <w:r w:rsidRPr="006F5AD7">
              <w:t>Gintarinio ąžuolo LMDP, metalinės dalys- juoda.</w:t>
            </w:r>
          </w:p>
        </w:tc>
        <w:tc>
          <w:tcPr>
            <w:tcW w:w="975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vnt.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131,65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131,65</w:t>
            </w:r>
          </w:p>
        </w:tc>
      </w:tr>
      <w:tr w:rsidR="006F5AD7" w:rsidRPr="006F5AD7" w:rsidTr="003718C4">
        <w:trPr>
          <w:trHeight w:val="480"/>
        </w:trPr>
        <w:tc>
          <w:tcPr>
            <w:tcW w:w="6159" w:type="dxa"/>
            <w:gridSpan w:val="3"/>
            <w:shd w:val="clear" w:color="auto" w:fill="auto"/>
            <w:hideMark/>
          </w:tcPr>
          <w:p w:rsidR="006F5AD7" w:rsidRPr="006F5AD7" w:rsidRDefault="006F5AD7" w:rsidP="006F5AD7">
            <w:r w:rsidRPr="006F5AD7">
              <w:t>Iš viso:</w:t>
            </w:r>
          </w:p>
        </w:tc>
        <w:tc>
          <w:tcPr>
            <w:tcW w:w="1013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124,000</w:t>
            </w:r>
          </w:p>
        </w:tc>
        <w:tc>
          <w:tcPr>
            <w:tcW w:w="122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x</w:t>
            </w:r>
          </w:p>
        </w:tc>
        <w:tc>
          <w:tcPr>
            <w:tcW w:w="1461" w:type="dxa"/>
            <w:shd w:val="clear" w:color="auto" w:fill="auto"/>
            <w:hideMark/>
          </w:tcPr>
          <w:p w:rsidR="006F5AD7" w:rsidRPr="006F5AD7" w:rsidRDefault="006F5AD7" w:rsidP="006F5AD7">
            <w:r w:rsidRPr="006F5AD7">
              <w:t>17352,49</w:t>
            </w:r>
          </w:p>
        </w:tc>
      </w:tr>
    </w:tbl>
    <w:p w:rsidR="00E26A48" w:rsidRDefault="00E26A48" w:rsidP="00976D31"/>
    <w:p w:rsidR="00535E7D" w:rsidRDefault="00FF2466" w:rsidP="002C1AFF">
      <w:pPr>
        <w:jc w:val="center"/>
        <w:rPr>
          <w:b/>
        </w:rPr>
      </w:pPr>
      <w:r>
        <w:rPr>
          <w:b/>
        </w:rPr>
        <w:t>____________________________</w:t>
      </w:r>
    </w:p>
    <w:sectPr w:rsidR="00535E7D" w:rsidSect="00C77A5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F77B9"/>
    <w:multiLevelType w:val="hybridMultilevel"/>
    <w:tmpl w:val="ACFEF842"/>
    <w:lvl w:ilvl="0" w:tplc="1952E084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BF30D8D"/>
    <w:multiLevelType w:val="hybridMultilevel"/>
    <w:tmpl w:val="0438427C"/>
    <w:lvl w:ilvl="0" w:tplc="0C26636C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Times New Roman" w:hint="default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A57834"/>
    <w:multiLevelType w:val="hybridMultilevel"/>
    <w:tmpl w:val="3CC238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F4A43"/>
    <w:multiLevelType w:val="hybridMultilevel"/>
    <w:tmpl w:val="3CC238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1166D"/>
    <w:rsid w:val="00013384"/>
    <w:rsid w:val="00022122"/>
    <w:rsid w:val="0002401C"/>
    <w:rsid w:val="00036DDC"/>
    <w:rsid w:val="000800D9"/>
    <w:rsid w:val="00093E41"/>
    <w:rsid w:val="0009683D"/>
    <w:rsid w:val="000A383D"/>
    <w:rsid w:val="000A7F46"/>
    <w:rsid w:val="000E423E"/>
    <w:rsid w:val="000F1AEC"/>
    <w:rsid w:val="001063B0"/>
    <w:rsid w:val="00114802"/>
    <w:rsid w:val="00114C45"/>
    <w:rsid w:val="001175D0"/>
    <w:rsid w:val="001242F2"/>
    <w:rsid w:val="00125D94"/>
    <w:rsid w:val="0015552A"/>
    <w:rsid w:val="00166B16"/>
    <w:rsid w:val="001A541B"/>
    <w:rsid w:val="001B2F84"/>
    <w:rsid w:val="001D2C49"/>
    <w:rsid w:val="001E41D6"/>
    <w:rsid w:val="001E766B"/>
    <w:rsid w:val="0021599C"/>
    <w:rsid w:val="00223132"/>
    <w:rsid w:val="0022658E"/>
    <w:rsid w:val="00237CD8"/>
    <w:rsid w:val="0024655A"/>
    <w:rsid w:val="00276B90"/>
    <w:rsid w:val="00276C9D"/>
    <w:rsid w:val="002840BE"/>
    <w:rsid w:val="00285270"/>
    <w:rsid w:val="00285596"/>
    <w:rsid w:val="00286E4B"/>
    <w:rsid w:val="00297BAC"/>
    <w:rsid w:val="002A1B17"/>
    <w:rsid w:val="002A3DEF"/>
    <w:rsid w:val="002C1AFF"/>
    <w:rsid w:val="002E2C81"/>
    <w:rsid w:val="002F1DAF"/>
    <w:rsid w:val="002F2C52"/>
    <w:rsid w:val="00302338"/>
    <w:rsid w:val="0030467E"/>
    <w:rsid w:val="00307D78"/>
    <w:rsid w:val="00320B7E"/>
    <w:rsid w:val="00321823"/>
    <w:rsid w:val="00325A98"/>
    <w:rsid w:val="003311A2"/>
    <w:rsid w:val="00347BED"/>
    <w:rsid w:val="003516B8"/>
    <w:rsid w:val="00355837"/>
    <w:rsid w:val="003617F4"/>
    <w:rsid w:val="003711A2"/>
    <w:rsid w:val="003718C4"/>
    <w:rsid w:val="00374EEB"/>
    <w:rsid w:val="003817A4"/>
    <w:rsid w:val="00385943"/>
    <w:rsid w:val="003A246B"/>
    <w:rsid w:val="003A5733"/>
    <w:rsid w:val="003A75D9"/>
    <w:rsid w:val="003C0295"/>
    <w:rsid w:val="003C2263"/>
    <w:rsid w:val="00400BB1"/>
    <w:rsid w:val="004035F8"/>
    <w:rsid w:val="004164E5"/>
    <w:rsid w:val="00416B93"/>
    <w:rsid w:val="004212E2"/>
    <w:rsid w:val="00425E60"/>
    <w:rsid w:val="00430120"/>
    <w:rsid w:val="00436323"/>
    <w:rsid w:val="004404CF"/>
    <w:rsid w:val="0044718B"/>
    <w:rsid w:val="0045086A"/>
    <w:rsid w:val="00450A10"/>
    <w:rsid w:val="00495C2A"/>
    <w:rsid w:val="00496464"/>
    <w:rsid w:val="004A25A2"/>
    <w:rsid w:val="004A3FC7"/>
    <w:rsid w:val="004A548E"/>
    <w:rsid w:val="004A771B"/>
    <w:rsid w:val="004E6529"/>
    <w:rsid w:val="004E7C70"/>
    <w:rsid w:val="004F145C"/>
    <w:rsid w:val="004F15B5"/>
    <w:rsid w:val="00501D37"/>
    <w:rsid w:val="0051288C"/>
    <w:rsid w:val="0051767B"/>
    <w:rsid w:val="00523190"/>
    <w:rsid w:val="005235A5"/>
    <w:rsid w:val="00535E7D"/>
    <w:rsid w:val="00537C06"/>
    <w:rsid w:val="005460D8"/>
    <w:rsid w:val="005475DF"/>
    <w:rsid w:val="00553C1A"/>
    <w:rsid w:val="005575E8"/>
    <w:rsid w:val="00567ADA"/>
    <w:rsid w:val="005821CA"/>
    <w:rsid w:val="0059002F"/>
    <w:rsid w:val="00590C5B"/>
    <w:rsid w:val="005948E3"/>
    <w:rsid w:val="00596013"/>
    <w:rsid w:val="005B7736"/>
    <w:rsid w:val="005D4296"/>
    <w:rsid w:val="005E50D6"/>
    <w:rsid w:val="005F0481"/>
    <w:rsid w:val="005F6FE4"/>
    <w:rsid w:val="0060032A"/>
    <w:rsid w:val="006136D2"/>
    <w:rsid w:val="006440A0"/>
    <w:rsid w:val="0064751A"/>
    <w:rsid w:val="0065667F"/>
    <w:rsid w:val="0066087A"/>
    <w:rsid w:val="00660F7A"/>
    <w:rsid w:val="0066182E"/>
    <w:rsid w:val="00673E40"/>
    <w:rsid w:val="00680FE9"/>
    <w:rsid w:val="00693B62"/>
    <w:rsid w:val="006A695F"/>
    <w:rsid w:val="006B13C6"/>
    <w:rsid w:val="006B537E"/>
    <w:rsid w:val="006B600E"/>
    <w:rsid w:val="006C6616"/>
    <w:rsid w:val="006D1057"/>
    <w:rsid w:val="006D2A71"/>
    <w:rsid w:val="006D56AA"/>
    <w:rsid w:val="006E3691"/>
    <w:rsid w:val="006F5AD7"/>
    <w:rsid w:val="0071606D"/>
    <w:rsid w:val="007160A2"/>
    <w:rsid w:val="00717BA6"/>
    <w:rsid w:val="00722B83"/>
    <w:rsid w:val="007375A4"/>
    <w:rsid w:val="007433C1"/>
    <w:rsid w:val="00750CBB"/>
    <w:rsid w:val="00750CCC"/>
    <w:rsid w:val="00773999"/>
    <w:rsid w:val="00775B88"/>
    <w:rsid w:val="00783650"/>
    <w:rsid w:val="007B014B"/>
    <w:rsid w:val="007C1176"/>
    <w:rsid w:val="007C25F3"/>
    <w:rsid w:val="007C79B6"/>
    <w:rsid w:val="007D294B"/>
    <w:rsid w:val="007D6630"/>
    <w:rsid w:val="007E348C"/>
    <w:rsid w:val="007E7229"/>
    <w:rsid w:val="007F4EDF"/>
    <w:rsid w:val="00802803"/>
    <w:rsid w:val="00802A7E"/>
    <w:rsid w:val="00811991"/>
    <w:rsid w:val="00831F73"/>
    <w:rsid w:val="00832C1C"/>
    <w:rsid w:val="00887CA0"/>
    <w:rsid w:val="00897A6C"/>
    <w:rsid w:val="008A4D22"/>
    <w:rsid w:val="008A771E"/>
    <w:rsid w:val="0090589D"/>
    <w:rsid w:val="00913CE1"/>
    <w:rsid w:val="00921E5B"/>
    <w:rsid w:val="00921EEB"/>
    <w:rsid w:val="00925700"/>
    <w:rsid w:val="00936C0D"/>
    <w:rsid w:val="00942A1B"/>
    <w:rsid w:val="0097236B"/>
    <w:rsid w:val="00976D31"/>
    <w:rsid w:val="00980D6A"/>
    <w:rsid w:val="00982100"/>
    <w:rsid w:val="00984937"/>
    <w:rsid w:val="00990EFE"/>
    <w:rsid w:val="009961C8"/>
    <w:rsid w:val="009B66D5"/>
    <w:rsid w:val="009E266F"/>
    <w:rsid w:val="009F26D1"/>
    <w:rsid w:val="00A03E30"/>
    <w:rsid w:val="00A127B5"/>
    <w:rsid w:val="00A14933"/>
    <w:rsid w:val="00A14EC4"/>
    <w:rsid w:val="00A1775A"/>
    <w:rsid w:val="00A17FFC"/>
    <w:rsid w:val="00A42E5A"/>
    <w:rsid w:val="00A55EEB"/>
    <w:rsid w:val="00A560E8"/>
    <w:rsid w:val="00A6169D"/>
    <w:rsid w:val="00A6248E"/>
    <w:rsid w:val="00A637B3"/>
    <w:rsid w:val="00A911C6"/>
    <w:rsid w:val="00AA3627"/>
    <w:rsid w:val="00AA6752"/>
    <w:rsid w:val="00AB272B"/>
    <w:rsid w:val="00AB3AAB"/>
    <w:rsid w:val="00AD223C"/>
    <w:rsid w:val="00B00077"/>
    <w:rsid w:val="00B03ED2"/>
    <w:rsid w:val="00B162D3"/>
    <w:rsid w:val="00B50483"/>
    <w:rsid w:val="00B5423E"/>
    <w:rsid w:val="00B6312B"/>
    <w:rsid w:val="00B73E21"/>
    <w:rsid w:val="00B77FAA"/>
    <w:rsid w:val="00B80267"/>
    <w:rsid w:val="00BA194D"/>
    <w:rsid w:val="00BD248C"/>
    <w:rsid w:val="00C05051"/>
    <w:rsid w:val="00C42A4D"/>
    <w:rsid w:val="00C451B3"/>
    <w:rsid w:val="00C50BCE"/>
    <w:rsid w:val="00C50D06"/>
    <w:rsid w:val="00C612B3"/>
    <w:rsid w:val="00C64B61"/>
    <w:rsid w:val="00C7076F"/>
    <w:rsid w:val="00C760DB"/>
    <w:rsid w:val="00C77A5B"/>
    <w:rsid w:val="00C911FF"/>
    <w:rsid w:val="00CA1279"/>
    <w:rsid w:val="00CB53FA"/>
    <w:rsid w:val="00CD207A"/>
    <w:rsid w:val="00CE34DF"/>
    <w:rsid w:val="00CE3DC0"/>
    <w:rsid w:val="00D15508"/>
    <w:rsid w:val="00D21B9E"/>
    <w:rsid w:val="00D277E2"/>
    <w:rsid w:val="00D40070"/>
    <w:rsid w:val="00D73B4F"/>
    <w:rsid w:val="00D81511"/>
    <w:rsid w:val="00D87E96"/>
    <w:rsid w:val="00D93D12"/>
    <w:rsid w:val="00DC1550"/>
    <w:rsid w:val="00DC6733"/>
    <w:rsid w:val="00DC776C"/>
    <w:rsid w:val="00DE0335"/>
    <w:rsid w:val="00DE3EE8"/>
    <w:rsid w:val="00DE4976"/>
    <w:rsid w:val="00DE4B7A"/>
    <w:rsid w:val="00DF3E4C"/>
    <w:rsid w:val="00DF54CC"/>
    <w:rsid w:val="00DF7F08"/>
    <w:rsid w:val="00E1026A"/>
    <w:rsid w:val="00E21EBD"/>
    <w:rsid w:val="00E24D8D"/>
    <w:rsid w:val="00E26A48"/>
    <w:rsid w:val="00E401FB"/>
    <w:rsid w:val="00E5587E"/>
    <w:rsid w:val="00E64BA4"/>
    <w:rsid w:val="00E67908"/>
    <w:rsid w:val="00E858BD"/>
    <w:rsid w:val="00E94CDA"/>
    <w:rsid w:val="00EB42F2"/>
    <w:rsid w:val="00EC1F50"/>
    <w:rsid w:val="00EC45D5"/>
    <w:rsid w:val="00ED5CFC"/>
    <w:rsid w:val="00EF5737"/>
    <w:rsid w:val="00EF7D32"/>
    <w:rsid w:val="00F10C81"/>
    <w:rsid w:val="00F24432"/>
    <w:rsid w:val="00F30061"/>
    <w:rsid w:val="00F3082C"/>
    <w:rsid w:val="00F353AD"/>
    <w:rsid w:val="00F547F5"/>
    <w:rsid w:val="00F553D0"/>
    <w:rsid w:val="00F5711B"/>
    <w:rsid w:val="00F5720D"/>
    <w:rsid w:val="00F75C0A"/>
    <w:rsid w:val="00F8564A"/>
    <w:rsid w:val="00FC17AF"/>
    <w:rsid w:val="00FC64BE"/>
    <w:rsid w:val="00FC6719"/>
    <w:rsid w:val="00FE39EA"/>
    <w:rsid w:val="00FF0A8A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3A75D9"/>
    <w:rPr>
      <w:sz w:val="16"/>
    </w:rPr>
  </w:style>
  <w:style w:type="paragraph" w:styleId="Komentarotekstas">
    <w:name w:val="annotation text"/>
    <w:basedOn w:val="prastasis"/>
    <w:link w:val="KomentarotekstasDiagrama"/>
    <w:rsid w:val="00DC673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C6733"/>
  </w:style>
  <w:style w:type="paragraph" w:styleId="Komentarotema">
    <w:name w:val="annotation subject"/>
    <w:basedOn w:val="Komentarotekstas"/>
    <w:next w:val="Komentarotekstas"/>
    <w:link w:val="KomentarotemaDiagrama"/>
    <w:rsid w:val="00DC6733"/>
    <w:rPr>
      <w:b/>
      <w:bCs/>
    </w:rPr>
  </w:style>
  <w:style w:type="character" w:customStyle="1" w:styleId="KomentarotemaDiagrama">
    <w:name w:val="Komentaro tema Diagrama"/>
    <w:link w:val="Komentarotema"/>
    <w:rsid w:val="00DC67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3A75D9"/>
    <w:rPr>
      <w:sz w:val="16"/>
    </w:rPr>
  </w:style>
  <w:style w:type="paragraph" w:styleId="Komentarotekstas">
    <w:name w:val="annotation text"/>
    <w:basedOn w:val="prastasis"/>
    <w:link w:val="KomentarotekstasDiagrama"/>
    <w:rsid w:val="00DC673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C6733"/>
  </w:style>
  <w:style w:type="paragraph" w:styleId="Komentarotema">
    <w:name w:val="annotation subject"/>
    <w:basedOn w:val="Komentarotekstas"/>
    <w:next w:val="Komentarotekstas"/>
    <w:link w:val="KomentarotemaDiagrama"/>
    <w:rsid w:val="00DC6733"/>
    <w:rPr>
      <w:b/>
      <w:bCs/>
    </w:rPr>
  </w:style>
  <w:style w:type="character" w:customStyle="1" w:styleId="KomentarotemaDiagrama">
    <w:name w:val="Komentaro tema Diagrama"/>
    <w:link w:val="Komentarotema"/>
    <w:rsid w:val="00DC67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AAFC-EE28-4245-B5C4-0F4EC453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79144D25</Template>
  <TotalTime>3</TotalTime>
  <Pages>3</Pages>
  <Words>3514</Words>
  <Characters>2004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7</cp:revision>
  <cp:lastPrinted>2021-10-13T12:30:00Z</cp:lastPrinted>
  <dcterms:created xsi:type="dcterms:W3CDTF">2021-12-22T09:26:00Z</dcterms:created>
  <dcterms:modified xsi:type="dcterms:W3CDTF">2021-12-27T14:10:00Z</dcterms:modified>
</cp:coreProperties>
</file>