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F85" w:rsidRDefault="00286F85" w:rsidP="00286F85">
      <w:pPr>
        <w:jc w:val="center"/>
        <w:rPr>
          <w:b/>
          <w:sz w:val="28"/>
          <w:szCs w:val="28"/>
        </w:rPr>
      </w:pPr>
      <w:r>
        <w:rPr>
          <w:b/>
          <w:noProof/>
        </w:rPr>
        <w:drawing>
          <wp:anchor distT="0" distB="180340" distL="114300" distR="114300" simplePos="0" relativeHeight="251658240" behindDoc="1" locked="0" layoutInCell="0" allowOverlap="1" wp14:anchorId="6A51B966" wp14:editId="5C426B39">
            <wp:simplePos x="0" y="0"/>
            <wp:positionH relativeFrom="column">
              <wp:posOffset>2777490</wp:posOffset>
            </wp:positionH>
            <wp:positionV relativeFrom="paragraph">
              <wp:posOffset>-327025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F762E4">
        <w:rPr>
          <w:b/>
          <w:sz w:val="28"/>
          <w:szCs w:val="28"/>
        </w:rPr>
        <w:t>PLUNGĖS RAJONO SAVIVALDYBĖS</w:t>
      </w:r>
    </w:p>
    <w:p w:rsidR="00D56554" w:rsidRPr="00F762E4" w:rsidRDefault="00D56554" w:rsidP="00286F85">
      <w:pPr>
        <w:jc w:val="center"/>
        <w:rPr>
          <w:b/>
          <w:sz w:val="28"/>
          <w:szCs w:val="28"/>
        </w:rPr>
      </w:pPr>
      <w:r w:rsidRPr="00F762E4">
        <w:rPr>
          <w:b/>
          <w:sz w:val="28"/>
          <w:szCs w:val="28"/>
        </w:rPr>
        <w:t>TARYBA</w:t>
      </w:r>
    </w:p>
    <w:p w:rsidR="00D56554" w:rsidRPr="00F762E4" w:rsidRDefault="00D56554" w:rsidP="00286F85">
      <w:pPr>
        <w:jc w:val="center"/>
        <w:rPr>
          <w:b/>
          <w:sz w:val="28"/>
          <w:szCs w:val="28"/>
        </w:rPr>
      </w:pPr>
    </w:p>
    <w:p w:rsidR="00D56554" w:rsidRPr="00F762E4" w:rsidRDefault="00D56554" w:rsidP="00286F85">
      <w:pPr>
        <w:jc w:val="center"/>
        <w:rPr>
          <w:b/>
          <w:sz w:val="28"/>
          <w:szCs w:val="28"/>
        </w:rPr>
      </w:pPr>
      <w:r w:rsidRPr="00F762E4">
        <w:rPr>
          <w:b/>
          <w:sz w:val="28"/>
          <w:szCs w:val="28"/>
        </w:rPr>
        <w:t>SPRENDIMAS</w:t>
      </w:r>
    </w:p>
    <w:p w:rsidR="00D56554" w:rsidRDefault="00D56554" w:rsidP="00286F85">
      <w:pPr>
        <w:jc w:val="center"/>
        <w:rPr>
          <w:b/>
          <w:caps/>
          <w:sz w:val="28"/>
          <w:szCs w:val="28"/>
        </w:rPr>
      </w:pPr>
      <w:r w:rsidRPr="00F762E4">
        <w:rPr>
          <w:b/>
          <w:caps/>
          <w:sz w:val="28"/>
          <w:szCs w:val="28"/>
        </w:rPr>
        <w:t xml:space="preserve">DĖL </w:t>
      </w:r>
      <w:r w:rsidR="00175B83" w:rsidRPr="00F762E4">
        <w:rPr>
          <w:b/>
          <w:caps/>
          <w:sz w:val="28"/>
          <w:szCs w:val="28"/>
        </w:rPr>
        <w:t>projekto</w:t>
      </w:r>
      <w:r w:rsidR="00D0278E">
        <w:rPr>
          <w:b/>
          <w:caps/>
          <w:sz w:val="28"/>
          <w:szCs w:val="28"/>
        </w:rPr>
        <w:t xml:space="preserve"> </w:t>
      </w:r>
      <w:r w:rsidR="00D0278E" w:rsidRPr="00F762E4">
        <w:rPr>
          <w:b/>
          <w:sz w:val="28"/>
          <w:szCs w:val="28"/>
        </w:rPr>
        <w:t>„KRAŠTOVAIZDŽIO PLANAVIMAS, TVARKYMAS IR BŪKLĖS GERINIMAS PLUNGĖS RAJONE“</w:t>
      </w:r>
      <w:r w:rsidR="00D0278E" w:rsidRPr="00D0278E">
        <w:rPr>
          <w:b/>
          <w:sz w:val="28"/>
          <w:szCs w:val="28"/>
        </w:rPr>
        <w:t xml:space="preserve"> </w:t>
      </w:r>
      <w:r w:rsidR="00175B83" w:rsidRPr="00F762E4">
        <w:rPr>
          <w:b/>
          <w:caps/>
          <w:sz w:val="28"/>
          <w:szCs w:val="28"/>
        </w:rPr>
        <w:t>įtrau</w:t>
      </w:r>
      <w:r w:rsidR="00BB239A" w:rsidRPr="00F762E4">
        <w:rPr>
          <w:b/>
          <w:caps/>
          <w:sz w:val="28"/>
          <w:szCs w:val="28"/>
        </w:rPr>
        <w:t>kimo į telšių regiono integruotą</w:t>
      </w:r>
      <w:r w:rsidR="00175B83" w:rsidRPr="00F762E4">
        <w:rPr>
          <w:b/>
          <w:caps/>
          <w:sz w:val="28"/>
          <w:szCs w:val="28"/>
        </w:rPr>
        <w:t xml:space="preserve"> teritorijų vystymo programą</w:t>
      </w:r>
    </w:p>
    <w:p w:rsidR="00D0278E" w:rsidRPr="00F762E4" w:rsidRDefault="00D0278E" w:rsidP="00286F85">
      <w:pPr>
        <w:jc w:val="center"/>
        <w:rPr>
          <w:b/>
          <w:caps/>
          <w:sz w:val="28"/>
          <w:szCs w:val="28"/>
        </w:rPr>
      </w:pPr>
    </w:p>
    <w:p w:rsidR="00D56554" w:rsidRDefault="00175B83" w:rsidP="00286F85">
      <w:pPr>
        <w:jc w:val="center"/>
      </w:pPr>
      <w:r>
        <w:t>2016</w:t>
      </w:r>
      <w:r w:rsidR="00D0278E">
        <w:t xml:space="preserve"> m. spalio </w:t>
      </w:r>
      <w:r>
        <w:t>27</w:t>
      </w:r>
      <w:r w:rsidR="0000153C">
        <w:t xml:space="preserve"> d.</w:t>
      </w:r>
      <w:r w:rsidR="00D56554">
        <w:t xml:space="preserve"> Nr.</w:t>
      </w:r>
      <w:r>
        <w:t xml:space="preserve"> T1-</w:t>
      </w:r>
      <w:r w:rsidR="009A5E88">
        <w:t>273</w:t>
      </w:r>
    </w:p>
    <w:p w:rsidR="00D56554" w:rsidRDefault="00D56554" w:rsidP="00286F85">
      <w:pPr>
        <w:jc w:val="center"/>
        <w:rPr>
          <w:b/>
        </w:rPr>
      </w:pPr>
      <w:r>
        <w:t>Plungė</w:t>
      </w:r>
    </w:p>
    <w:p w:rsidR="00594FDA" w:rsidRDefault="00594FDA" w:rsidP="00F762E4"/>
    <w:p w:rsidR="00DE2EB2" w:rsidRDefault="00DE2EB2" w:rsidP="007A0165">
      <w:pPr>
        <w:ind w:firstLine="737"/>
        <w:jc w:val="both"/>
      </w:pPr>
      <w:r>
        <w:t xml:space="preserve">Vadovaudamasi Lietuvos Respublikos </w:t>
      </w:r>
      <w:r w:rsidR="00175B83">
        <w:t>vietos savivaldos</w:t>
      </w:r>
      <w:r>
        <w:t xml:space="preserve"> įstatymo </w:t>
      </w:r>
      <w:r w:rsidR="00175B83">
        <w:t>6</w:t>
      </w:r>
      <w:r>
        <w:t xml:space="preserve"> straipsnio </w:t>
      </w:r>
      <w:r w:rsidR="00175B83">
        <w:t>23 punktu</w:t>
      </w:r>
      <w:r w:rsidR="00267763">
        <w:t xml:space="preserve">, </w:t>
      </w:r>
      <w:r w:rsidR="00175B83">
        <w:t>16 straipsnio 4 dalimi</w:t>
      </w:r>
      <w:r>
        <w:t>,</w:t>
      </w:r>
      <w:r w:rsidR="00175B83">
        <w:t xml:space="preserve"> </w:t>
      </w:r>
      <w:r w:rsidR="007A0165" w:rsidRPr="005F0CE6">
        <w:t>Integruotų teritorijų vystymo programų rengimo ir įgyvendinimo gairių, patvirtintų Lietuvos Respublikos vidaus reikalų ministro 2014 m. liepos 11 d. įsakymu Nr. 1V-480, 34 punktu</w:t>
      </w:r>
      <w:r w:rsidR="007A0165">
        <w:t xml:space="preserve">, </w:t>
      </w:r>
      <w:r>
        <w:t xml:space="preserve">Plungės rajono </w:t>
      </w:r>
      <w:r w:rsidR="009027B9">
        <w:t xml:space="preserve">savivaldybės </w:t>
      </w:r>
      <w:r>
        <w:t xml:space="preserve">taryba </w:t>
      </w:r>
      <w:r w:rsidRPr="00DE2EB2">
        <w:rPr>
          <w:spacing w:val="40"/>
        </w:rPr>
        <w:t>nusprendžia</w:t>
      </w:r>
      <w:r>
        <w:t>:</w:t>
      </w:r>
    </w:p>
    <w:p w:rsidR="007A0165" w:rsidRDefault="007A0165" w:rsidP="007A0165">
      <w:pPr>
        <w:tabs>
          <w:tab w:val="num" w:pos="-3261"/>
        </w:tabs>
        <w:ind w:firstLine="709"/>
        <w:jc w:val="both"/>
      </w:pPr>
      <w:r>
        <w:t>Teikti siūlymą</w:t>
      </w:r>
      <w:r w:rsidRPr="005F0CE6">
        <w:t xml:space="preserve"> Lietuvos Respublikos vidaus reikalų ministerijai </w:t>
      </w:r>
      <w:r w:rsidRPr="005279B2">
        <w:rPr>
          <w:szCs w:val="20"/>
          <w:lang w:eastAsia="en-US"/>
        </w:rPr>
        <w:t xml:space="preserve">į Telšių regiono integruotą teritorijų vystymo programą, patvirtintą Lietuvos Respublikos vidaus reikalų ministro 2015 m. rugsėjo 3 d. įsakymu Nr. 1V-684 „Dėl Telšių regiono integruotos teritorijų vystymo </w:t>
      </w:r>
      <w:r w:rsidRPr="008F614E">
        <w:rPr>
          <w:lang w:eastAsia="en-US"/>
        </w:rPr>
        <w:t>programos patvirtinimo“</w:t>
      </w:r>
      <w:r>
        <w:rPr>
          <w:lang w:eastAsia="en-US"/>
        </w:rPr>
        <w:t xml:space="preserve">, </w:t>
      </w:r>
      <w:r w:rsidRPr="005F0CE6">
        <w:t>įtraukti projektą „Kraštovaizdžio planavimas, tvarkymas ir būklės gerinimas Plungės rajone“</w:t>
      </w:r>
      <w:r w:rsidR="00C478ED">
        <w:t xml:space="preserve"> (priedas)</w:t>
      </w:r>
      <w:r w:rsidRPr="005F0CE6">
        <w:t xml:space="preserve">, įgyvendinamą pagal </w:t>
      </w:r>
      <w:r w:rsidRPr="005279B2">
        <w:rPr>
          <w:szCs w:val="20"/>
          <w:lang w:eastAsia="en-US"/>
        </w:rPr>
        <w:t>2014–2020 metų Europos Sąjungos fondų Investicijų veiksmų programos 5 prioriteto „Aplinkosauga, gamtos išteklių darnus naudojimas ir prisitaikymas prie klimato kaitos“ 05.5.1-APVA-R-019 priemonę „Kraštovaizdžio apsauga“</w:t>
      </w:r>
      <w:r w:rsidR="00C478ED">
        <w:rPr>
          <w:lang w:eastAsia="en-US"/>
        </w:rPr>
        <w:t>.</w:t>
      </w:r>
    </w:p>
    <w:p w:rsidR="00DE2EB2" w:rsidRDefault="003535A9" w:rsidP="007A0165">
      <w:pPr>
        <w:tabs>
          <w:tab w:val="num" w:pos="-3261"/>
        </w:tabs>
        <w:ind w:firstLine="709"/>
        <w:jc w:val="both"/>
      </w:pPr>
      <w:r>
        <w:t xml:space="preserve">Šis sprendimas gali būti skundžiamas Lietuvos Respublikos administracinių bylų teisenos įstatymo nustatyta tvarka. </w:t>
      </w:r>
    </w:p>
    <w:p w:rsidR="00BB239A" w:rsidRDefault="00BB239A" w:rsidP="007A0165">
      <w:pPr>
        <w:ind w:left="709"/>
        <w:jc w:val="both"/>
      </w:pPr>
    </w:p>
    <w:p w:rsidR="00286F85" w:rsidRDefault="00286F85" w:rsidP="007A0165">
      <w:pPr>
        <w:ind w:left="709"/>
        <w:jc w:val="both"/>
      </w:pPr>
    </w:p>
    <w:p w:rsidR="00395865" w:rsidRDefault="00395865" w:rsidP="007A0165">
      <w:pPr>
        <w:jc w:val="both"/>
      </w:pPr>
      <w:r>
        <w:t>Savivaldybės mer</w:t>
      </w:r>
      <w:r w:rsidR="002E5472">
        <w:t>as</w:t>
      </w:r>
      <w:r>
        <w:tab/>
      </w:r>
      <w:r>
        <w:tab/>
      </w:r>
      <w:r>
        <w:tab/>
        <w:t xml:space="preserve">          </w:t>
      </w:r>
      <w:r w:rsidR="002E5472">
        <w:tab/>
      </w:r>
      <w:r w:rsidR="002E5472">
        <w:tab/>
      </w:r>
      <w:r w:rsidR="00D475B4">
        <w:t xml:space="preserve">   Audrius Klišonis</w:t>
      </w:r>
    </w:p>
    <w:p w:rsidR="00DE2EB2" w:rsidRDefault="00DE2EB2" w:rsidP="00594FDA">
      <w:pPr>
        <w:ind w:firstLine="737"/>
        <w:jc w:val="both"/>
      </w:pPr>
    </w:p>
    <w:p w:rsidR="00594FDA" w:rsidRDefault="00594FDA" w:rsidP="00594FDA">
      <w:pPr>
        <w:ind w:firstLine="737"/>
        <w:jc w:val="both"/>
      </w:pPr>
    </w:p>
    <w:p w:rsidR="00594FDA" w:rsidRDefault="00594FDA" w:rsidP="00594FDA">
      <w:pPr>
        <w:jc w:val="both"/>
      </w:pPr>
    </w:p>
    <w:p w:rsidR="00C478ED" w:rsidRDefault="00C478ED" w:rsidP="008C0C3F">
      <w:pPr>
        <w:autoSpaceDE w:val="0"/>
        <w:autoSpaceDN w:val="0"/>
        <w:adjustRightInd w:val="0"/>
        <w:ind w:left="3888"/>
      </w:pPr>
    </w:p>
    <w:p w:rsidR="00C478ED" w:rsidRDefault="00C478ED" w:rsidP="008C0C3F">
      <w:pPr>
        <w:autoSpaceDE w:val="0"/>
        <w:autoSpaceDN w:val="0"/>
        <w:adjustRightInd w:val="0"/>
        <w:ind w:left="3888"/>
      </w:pPr>
    </w:p>
    <w:p w:rsidR="00C478ED" w:rsidRDefault="00C478ED" w:rsidP="008C0C3F">
      <w:pPr>
        <w:autoSpaceDE w:val="0"/>
        <w:autoSpaceDN w:val="0"/>
        <w:adjustRightInd w:val="0"/>
        <w:ind w:left="3888"/>
      </w:pPr>
    </w:p>
    <w:p w:rsidR="00C478ED" w:rsidRDefault="00C478ED"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sectPr w:rsidR="00CD2884" w:rsidSect="00286F85">
          <w:pgSz w:w="11906" w:h="16838" w:code="9"/>
          <w:pgMar w:top="1134" w:right="567" w:bottom="1134" w:left="1701" w:header="567" w:footer="567" w:gutter="0"/>
          <w:cols w:space="1296"/>
          <w:docGrid w:linePitch="360"/>
        </w:sectPr>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p w:rsidR="00CD2884" w:rsidRDefault="00CD2884" w:rsidP="00C478ED">
      <w:pPr>
        <w:autoSpaceDE w:val="0"/>
        <w:autoSpaceDN w:val="0"/>
        <w:adjustRightInd w:val="0"/>
      </w:pPr>
    </w:p>
    <w:tbl>
      <w:tblPr>
        <w:tblpPr w:leftFromText="180" w:rightFromText="180" w:horzAnchor="margin" w:tblpY="495"/>
        <w:tblW w:w="13790" w:type="dxa"/>
        <w:tblLayout w:type="fixed"/>
        <w:tblLook w:val="04A0" w:firstRow="1" w:lastRow="0" w:firstColumn="1" w:lastColumn="0" w:noHBand="0" w:noVBand="1"/>
      </w:tblPr>
      <w:tblGrid>
        <w:gridCol w:w="1473"/>
        <w:gridCol w:w="1366"/>
        <w:gridCol w:w="1443"/>
        <w:gridCol w:w="79"/>
        <w:gridCol w:w="1268"/>
        <w:gridCol w:w="1329"/>
        <w:gridCol w:w="1442"/>
        <w:gridCol w:w="1273"/>
        <w:gridCol w:w="1272"/>
        <w:gridCol w:w="1161"/>
        <w:gridCol w:w="1684"/>
      </w:tblGrid>
      <w:tr w:rsidR="00C478ED" w:rsidTr="00FA6D3A">
        <w:trPr>
          <w:trHeight w:val="505"/>
        </w:trPr>
        <w:tc>
          <w:tcPr>
            <w:tcW w:w="13790" w:type="dxa"/>
            <w:gridSpan w:val="11"/>
            <w:tcBorders>
              <w:bottom w:val="single" w:sz="4" w:space="0" w:color="auto"/>
            </w:tcBorders>
            <w:shd w:val="clear" w:color="auto" w:fill="auto"/>
            <w:hideMark/>
          </w:tcPr>
          <w:p w:rsidR="00CD2884" w:rsidRDefault="00CD2884" w:rsidP="00CD2884">
            <w:pPr>
              <w:ind w:left="3807" w:firstLine="1296"/>
              <w:jc w:val="right"/>
            </w:pPr>
            <w:r>
              <w:t>Plungės rajono savivaldybės</w:t>
            </w:r>
          </w:p>
          <w:p w:rsidR="00CD2884" w:rsidRDefault="006C50B5" w:rsidP="00CD2884">
            <w:pPr>
              <w:ind w:left="3807" w:firstLine="1296"/>
              <w:jc w:val="right"/>
            </w:pPr>
            <w:r>
              <w:t xml:space="preserve">  </w:t>
            </w:r>
            <w:r w:rsidR="00CD2884">
              <w:t xml:space="preserve">tarybos </w:t>
            </w:r>
            <w:r w:rsidR="00CD2884" w:rsidRPr="004539A2">
              <w:t>201</w:t>
            </w:r>
            <w:r w:rsidR="00CD2884">
              <w:t>6</w:t>
            </w:r>
            <w:r w:rsidR="00CD2884" w:rsidRPr="004539A2">
              <w:t xml:space="preserve"> m. </w:t>
            </w:r>
            <w:r w:rsidR="00CD2884">
              <w:t xml:space="preserve">spalio 27 </w:t>
            </w:r>
            <w:r w:rsidR="00CD2884" w:rsidRPr="004539A2">
              <w:t>d.</w:t>
            </w:r>
            <w:bookmarkStart w:id="0" w:name="_GoBack"/>
            <w:bookmarkEnd w:id="0"/>
          </w:p>
          <w:p w:rsidR="00CD2884" w:rsidRDefault="00CD2884" w:rsidP="00CD2884">
            <w:pPr>
              <w:ind w:left="3807" w:firstLine="1296"/>
              <w:jc w:val="center"/>
            </w:pPr>
            <w:r>
              <w:t xml:space="preserve">                                                                            </w:t>
            </w:r>
            <w:r w:rsidR="009A5E88">
              <w:t xml:space="preserve">     </w:t>
            </w:r>
            <w:r>
              <w:t xml:space="preserve">    </w:t>
            </w:r>
            <w:r w:rsidR="006C50B5">
              <w:t xml:space="preserve"> </w:t>
            </w:r>
            <w:r>
              <w:t>sprendimo Nr. T1-</w:t>
            </w:r>
            <w:r w:rsidR="009A5E88">
              <w:t>273</w:t>
            </w:r>
          </w:p>
          <w:p w:rsidR="00CD2884" w:rsidRPr="00CD2884" w:rsidRDefault="00CD2884" w:rsidP="00CD2884">
            <w:r>
              <w:t xml:space="preserve">                                                                                                                                                                                     priedas</w:t>
            </w:r>
          </w:p>
          <w:p w:rsidR="00CD2884" w:rsidRDefault="00CD2884" w:rsidP="00FA6D3A">
            <w:pPr>
              <w:spacing w:line="276" w:lineRule="auto"/>
              <w:ind w:firstLine="760"/>
              <w:jc w:val="both"/>
              <w:rPr>
                <w:b/>
                <w:sz w:val="22"/>
                <w:szCs w:val="22"/>
                <w:u w:val="single"/>
              </w:rPr>
            </w:pPr>
          </w:p>
          <w:p w:rsidR="00CD2884" w:rsidRDefault="00C478ED" w:rsidP="00CD2884">
            <w:pPr>
              <w:spacing w:line="276" w:lineRule="auto"/>
              <w:ind w:firstLine="760"/>
              <w:jc w:val="both"/>
              <w:rPr>
                <w:b/>
                <w:sz w:val="22"/>
                <w:szCs w:val="22"/>
                <w:u w:val="single"/>
              </w:rPr>
            </w:pPr>
            <w:r>
              <w:rPr>
                <w:b/>
                <w:sz w:val="22"/>
                <w:szCs w:val="22"/>
                <w:u w:val="single"/>
              </w:rPr>
              <w:t>Veiksmas: Kraštovaizdžio planavimas, tvarkymas ir būklės gerinimas Plungės rajone.</w:t>
            </w:r>
          </w:p>
          <w:p w:rsidR="00C478ED" w:rsidRPr="00C31CBC" w:rsidRDefault="00C478ED" w:rsidP="00FA6D3A">
            <w:pPr>
              <w:jc w:val="both"/>
            </w:pPr>
            <w:r>
              <w:rPr>
                <w:sz w:val="22"/>
                <w:szCs w:val="22"/>
              </w:rPr>
              <w:t>(</w:t>
            </w:r>
            <w:r>
              <w:t xml:space="preserve">planuojamas Plungės rajono savivaldybės teritorijos bendrojo plano </w:t>
            </w:r>
            <w:r w:rsidRPr="007A1F03">
              <w:t>koregavimas, prie</w:t>
            </w:r>
            <w:r w:rsidRPr="00F61C69">
              <w:t xml:space="preserve"> Babrungo upės ir Gandingos HE, vadinamosios Plungės jūros, prieinančios teritorijos kraštovaizdžio formavimas ir ekologinės būkl</w:t>
            </w:r>
            <w:r>
              <w:t>ės gerinimas, po kasybos darbų p</w:t>
            </w:r>
            <w:r w:rsidRPr="00F61C69">
              <w:t xml:space="preserve">ažeistos žemės </w:t>
            </w:r>
            <w:r w:rsidRPr="00F61C69">
              <w:rPr>
                <w:color w:val="000000"/>
              </w:rPr>
              <w:t xml:space="preserve">Aviečių g., </w:t>
            </w:r>
            <w:proofErr w:type="spellStart"/>
            <w:r w:rsidRPr="00F61C69">
              <w:rPr>
                <w:color w:val="000000"/>
              </w:rPr>
              <w:t>Žvirblaičių</w:t>
            </w:r>
            <w:proofErr w:type="spellEnd"/>
            <w:r w:rsidRPr="00F61C69">
              <w:rPr>
                <w:color w:val="000000"/>
              </w:rPr>
              <w:t xml:space="preserve"> k., Plungės r. sav. </w:t>
            </w:r>
            <w:r>
              <w:t>t</w:t>
            </w:r>
            <w:r w:rsidRPr="00F61C69">
              <w:t>varkymas</w:t>
            </w:r>
            <w:r>
              <w:t xml:space="preserve">. </w:t>
            </w:r>
            <w:r w:rsidRPr="00F61C69">
              <w:t xml:space="preserve">Pakeitus bendrojo plano sprendinius bus galima užtikrinti kraštovaizdžio ekologinę pusiausvyrą, tinkamai koordinuoti priemiestinio kraštovaizdžio urbanizaciją. Sutvarkius teritoriją, prieinančią prie Babrungo upės ir Gandingos HE, vadinamosios Plungės jūros, bus išsaugotas vietovės kraštovaizdis, pagerinta ekologinė būklė, visuomenei sudarytos galimybės pažinti ir naudoti kraštovaizdį švietimo, ugdymo ir rekreacijos tikslais. Sutvarkius po kasybos darbų pažeistą teritoriją </w:t>
            </w:r>
            <w:r w:rsidRPr="00F61C69">
              <w:rPr>
                <w:color w:val="000000"/>
              </w:rPr>
              <w:t xml:space="preserve">Aviečių g., </w:t>
            </w:r>
            <w:proofErr w:type="spellStart"/>
            <w:r w:rsidRPr="00F61C69">
              <w:t>Žvirblaičių</w:t>
            </w:r>
            <w:proofErr w:type="spellEnd"/>
            <w:r w:rsidRPr="00F61C69">
              <w:t xml:space="preserve"> k, </w:t>
            </w:r>
            <w:r w:rsidRPr="00F61C69">
              <w:rPr>
                <w:color w:val="000000"/>
              </w:rPr>
              <w:t>Plungės r. sav.</w:t>
            </w:r>
            <w:r w:rsidRPr="00F61C69">
              <w:t xml:space="preserve"> bus sumažinta kraštovaizdžio fragmentacija ir teritorija i</w:t>
            </w:r>
            <w:r>
              <w:t>šnaudota visuomenės poreikiams.)</w:t>
            </w:r>
          </w:p>
        </w:tc>
      </w:tr>
      <w:tr w:rsidR="00C478ED" w:rsidTr="00C478ED">
        <w:trPr>
          <w:trHeight w:val="990"/>
        </w:trPr>
        <w:tc>
          <w:tcPr>
            <w:tcW w:w="1473"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Pradžia (metai)</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Pabaiga (metai)</w:t>
            </w:r>
          </w:p>
        </w:tc>
        <w:tc>
          <w:tcPr>
            <w:tcW w:w="1522" w:type="dxa"/>
            <w:gridSpan w:val="2"/>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Vykdytojas</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Ministerija</w:t>
            </w:r>
          </w:p>
        </w:tc>
        <w:tc>
          <w:tcPr>
            <w:tcW w:w="6477" w:type="dxa"/>
            <w:gridSpan w:val="5"/>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Veiksmų programos konkretaus uždavinio numeris ir pavadinimas</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Veiksmo atrankos būdas (R, V, –)</w:t>
            </w:r>
          </w:p>
        </w:tc>
      </w:tr>
      <w:tr w:rsidR="00C478ED" w:rsidTr="00C478ED">
        <w:trPr>
          <w:trHeight w:val="644"/>
        </w:trPr>
        <w:tc>
          <w:tcPr>
            <w:tcW w:w="1473"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2017</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2018</w:t>
            </w:r>
          </w:p>
        </w:tc>
        <w:tc>
          <w:tcPr>
            <w:tcW w:w="1522" w:type="dxa"/>
            <w:gridSpan w:val="2"/>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Plungės rajono savivaldybės administracija</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852065" w:rsidP="00FA6D3A">
            <w:pPr>
              <w:spacing w:line="259" w:lineRule="auto"/>
              <w:jc w:val="center"/>
              <w:rPr>
                <w:sz w:val="22"/>
                <w:szCs w:val="22"/>
              </w:rPr>
            </w:pPr>
            <w:r>
              <w:rPr>
                <w:sz w:val="22"/>
                <w:szCs w:val="22"/>
              </w:rPr>
              <w:t>A</w:t>
            </w:r>
            <w:r w:rsidR="00C478ED">
              <w:rPr>
                <w:sz w:val="22"/>
                <w:szCs w:val="22"/>
              </w:rPr>
              <w:t>M</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5.5.1.</w:t>
            </w:r>
          </w:p>
        </w:tc>
        <w:tc>
          <w:tcPr>
            <w:tcW w:w="5148" w:type="dxa"/>
            <w:gridSpan w:val="4"/>
            <w:tcBorders>
              <w:top w:val="single" w:sz="4" w:space="0" w:color="auto"/>
              <w:left w:val="single" w:sz="4" w:space="0" w:color="auto"/>
              <w:bottom w:val="single" w:sz="4" w:space="0" w:color="auto"/>
              <w:right w:val="single" w:sz="4" w:space="0" w:color="auto"/>
            </w:tcBorders>
            <w:shd w:val="clear" w:color="auto" w:fill="auto"/>
            <w:hideMark/>
          </w:tcPr>
          <w:p w:rsidR="00C478ED" w:rsidRPr="007F3597" w:rsidRDefault="00C478ED" w:rsidP="00FA6D3A">
            <w:pPr>
              <w:spacing w:line="259" w:lineRule="auto"/>
              <w:jc w:val="center"/>
              <w:rPr>
                <w:sz w:val="22"/>
                <w:szCs w:val="22"/>
              </w:rPr>
            </w:pPr>
            <w:r w:rsidRPr="007F3597">
              <w:rPr>
                <w:bCs/>
                <w:color w:val="000000"/>
              </w:rPr>
              <w:t>Pagerinti vietinės augalijos ir gyvūnijos rūšių, buveinių</w:t>
            </w:r>
            <w:r w:rsidRPr="007F3597">
              <w:rPr>
                <w:bCs/>
              </w:rPr>
              <w:t xml:space="preserve"> ir kraštovaizdžio arealų būklę</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R</w:t>
            </w:r>
          </w:p>
        </w:tc>
      </w:tr>
      <w:tr w:rsidR="00C478ED" w:rsidTr="00FA6D3A">
        <w:trPr>
          <w:trHeight w:val="329"/>
        </w:trPr>
        <w:tc>
          <w:tcPr>
            <w:tcW w:w="13790" w:type="dxa"/>
            <w:gridSpan w:val="11"/>
            <w:tcBorders>
              <w:top w:val="single" w:sz="4" w:space="0" w:color="auto"/>
              <w:bottom w:val="single" w:sz="4" w:space="0" w:color="auto"/>
            </w:tcBorders>
            <w:shd w:val="clear" w:color="auto" w:fill="auto"/>
            <w:hideMark/>
          </w:tcPr>
          <w:p w:rsidR="00C478ED" w:rsidRDefault="00C478ED" w:rsidP="00FA6D3A">
            <w:pPr>
              <w:spacing w:line="259" w:lineRule="auto"/>
              <w:ind w:firstLine="758"/>
              <w:rPr>
                <w:b/>
                <w:sz w:val="22"/>
                <w:szCs w:val="22"/>
              </w:rPr>
            </w:pPr>
            <w:r>
              <w:rPr>
                <w:b/>
                <w:sz w:val="22"/>
                <w:szCs w:val="22"/>
              </w:rPr>
              <w:t xml:space="preserve">Veiksmo lėšų poreikis ir finansavimo šaltiniai </w:t>
            </w:r>
          </w:p>
        </w:tc>
      </w:tr>
      <w:tr w:rsidR="00C478ED" w:rsidTr="00FA6D3A">
        <w:trPr>
          <w:trHeight w:val="709"/>
        </w:trPr>
        <w:tc>
          <w:tcPr>
            <w:tcW w:w="1473"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viso veiksmui įgyvendinti (</w:t>
            </w:r>
            <w:proofErr w:type="spellStart"/>
            <w:r>
              <w:rPr>
                <w:sz w:val="22"/>
                <w:szCs w:val="22"/>
              </w:rPr>
              <w:t>Eur</w:t>
            </w:r>
            <w:proofErr w:type="spellEnd"/>
            <w:r>
              <w:rPr>
                <w:sz w:val="22"/>
                <w:szCs w:val="22"/>
              </w:rPr>
              <w:t>):</w:t>
            </w:r>
          </w:p>
        </w:tc>
        <w:tc>
          <w:tcPr>
            <w:tcW w:w="2809" w:type="dxa"/>
            <w:gridSpan w:val="2"/>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Valstybės biudžeto lėšos (</w:t>
            </w:r>
            <w:proofErr w:type="spellStart"/>
            <w:r>
              <w:rPr>
                <w:sz w:val="22"/>
                <w:szCs w:val="22"/>
              </w:rPr>
              <w:t>Eur</w:t>
            </w:r>
            <w:proofErr w:type="spellEnd"/>
            <w:r>
              <w:rPr>
                <w:sz w:val="22"/>
                <w:szCs w:val="22"/>
              </w:rPr>
              <w:t>):</w:t>
            </w:r>
          </w:p>
        </w:tc>
        <w:tc>
          <w:tcPr>
            <w:tcW w:w="2676" w:type="dxa"/>
            <w:gridSpan w:val="3"/>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Savivaldybės biudžeto lėšos (</w:t>
            </w:r>
            <w:proofErr w:type="spellStart"/>
            <w:r>
              <w:rPr>
                <w:sz w:val="22"/>
                <w:szCs w:val="22"/>
              </w:rPr>
              <w:t>Eur</w:t>
            </w:r>
            <w:proofErr w:type="spellEnd"/>
            <w:r>
              <w:rPr>
                <w:sz w:val="22"/>
                <w:szCs w:val="22"/>
              </w:rPr>
              <w:t>):</w:t>
            </w:r>
          </w:p>
        </w:tc>
        <w:tc>
          <w:tcPr>
            <w:tcW w:w="2715" w:type="dxa"/>
            <w:gridSpan w:val="2"/>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Kitos viešosios lėšos (</w:t>
            </w:r>
            <w:proofErr w:type="spellStart"/>
            <w:r>
              <w:rPr>
                <w:sz w:val="22"/>
                <w:szCs w:val="22"/>
              </w:rPr>
              <w:t>Eur</w:t>
            </w:r>
            <w:proofErr w:type="spellEnd"/>
            <w:r>
              <w:rPr>
                <w:sz w:val="22"/>
                <w:szCs w:val="22"/>
              </w:rPr>
              <w:t>):</w:t>
            </w:r>
          </w:p>
        </w:tc>
        <w:tc>
          <w:tcPr>
            <w:tcW w:w="2433" w:type="dxa"/>
            <w:gridSpan w:val="2"/>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Privačios lėšos (</w:t>
            </w:r>
            <w:proofErr w:type="spellStart"/>
            <w:r>
              <w:rPr>
                <w:sz w:val="22"/>
                <w:szCs w:val="22"/>
              </w:rPr>
              <w:t>Eur</w:t>
            </w:r>
            <w:proofErr w:type="spellEnd"/>
            <w:r>
              <w:rPr>
                <w:sz w:val="22"/>
                <w:szCs w:val="22"/>
              </w:rPr>
              <w:t>):</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ES lėšos (</w:t>
            </w:r>
            <w:proofErr w:type="spellStart"/>
            <w:r>
              <w:rPr>
                <w:sz w:val="22"/>
                <w:szCs w:val="22"/>
              </w:rPr>
              <w:t>Eur</w:t>
            </w:r>
            <w:proofErr w:type="spellEnd"/>
            <w:r>
              <w:rPr>
                <w:sz w:val="22"/>
                <w:szCs w:val="22"/>
              </w:rPr>
              <w:t>):</w:t>
            </w:r>
          </w:p>
        </w:tc>
      </w:tr>
      <w:tr w:rsidR="00C478ED" w:rsidTr="00FA6D3A">
        <w:trPr>
          <w:trHeight w:val="990"/>
        </w:trPr>
        <w:tc>
          <w:tcPr>
            <w:tcW w:w="1473"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p>
        </w:tc>
        <w:tc>
          <w:tcPr>
            <w:tcW w:w="1366"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viso:</w:t>
            </w:r>
          </w:p>
        </w:tc>
        <w:tc>
          <w:tcPr>
            <w:tcW w:w="1443"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jų bendrasis finansavimas (toliau – BF):</w:t>
            </w:r>
          </w:p>
        </w:tc>
        <w:tc>
          <w:tcPr>
            <w:tcW w:w="1347" w:type="dxa"/>
            <w:gridSpan w:val="2"/>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viso:</w:t>
            </w:r>
          </w:p>
        </w:tc>
        <w:tc>
          <w:tcPr>
            <w:tcW w:w="1329"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jų BF:</w:t>
            </w:r>
          </w:p>
        </w:tc>
        <w:tc>
          <w:tcPr>
            <w:tcW w:w="1442"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viso:</w:t>
            </w:r>
          </w:p>
        </w:tc>
        <w:tc>
          <w:tcPr>
            <w:tcW w:w="1273"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jų BF:</w:t>
            </w:r>
          </w:p>
        </w:tc>
        <w:tc>
          <w:tcPr>
            <w:tcW w:w="1272" w:type="dxa"/>
            <w:tcBorders>
              <w:top w:val="single" w:sz="4" w:space="0" w:color="auto"/>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Iš viso:</w:t>
            </w:r>
          </w:p>
        </w:tc>
        <w:tc>
          <w:tcPr>
            <w:tcW w:w="1161" w:type="dxa"/>
            <w:tcBorders>
              <w:top w:val="single" w:sz="4" w:space="0" w:color="auto"/>
              <w:left w:val="nil"/>
              <w:bottom w:val="single" w:sz="4" w:space="0" w:color="auto"/>
              <w:right w:val="nil"/>
            </w:tcBorders>
            <w:shd w:val="clear" w:color="auto" w:fill="auto"/>
            <w:hideMark/>
          </w:tcPr>
          <w:p w:rsidR="00C478ED" w:rsidRDefault="00C478ED" w:rsidP="00FA6D3A">
            <w:pPr>
              <w:spacing w:line="259" w:lineRule="auto"/>
              <w:jc w:val="center"/>
              <w:rPr>
                <w:sz w:val="22"/>
                <w:szCs w:val="22"/>
              </w:rPr>
            </w:pPr>
            <w:r>
              <w:rPr>
                <w:sz w:val="22"/>
                <w:szCs w:val="22"/>
              </w:rPr>
              <w:t>iš jų BF:</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p>
        </w:tc>
      </w:tr>
      <w:tr w:rsidR="00C478ED" w:rsidTr="00FA6D3A">
        <w:trPr>
          <w:trHeight w:val="329"/>
        </w:trPr>
        <w:tc>
          <w:tcPr>
            <w:tcW w:w="1473" w:type="dxa"/>
            <w:tcBorders>
              <w:top w:val="nil"/>
              <w:left w:val="single" w:sz="4" w:space="0" w:color="auto"/>
              <w:bottom w:val="single" w:sz="4" w:space="0" w:color="auto"/>
              <w:right w:val="single" w:sz="4" w:space="0" w:color="auto"/>
            </w:tcBorders>
            <w:shd w:val="clear" w:color="auto" w:fill="auto"/>
          </w:tcPr>
          <w:p w:rsidR="00C478ED" w:rsidRDefault="00C478ED" w:rsidP="00FA6D3A">
            <w:pPr>
              <w:jc w:val="center"/>
              <w:rPr>
                <w:sz w:val="22"/>
                <w:szCs w:val="22"/>
              </w:rPr>
            </w:pPr>
            <w:r>
              <w:t>378438</w:t>
            </w:r>
          </w:p>
        </w:tc>
        <w:tc>
          <w:tcPr>
            <w:tcW w:w="1366" w:type="dxa"/>
            <w:tcBorders>
              <w:top w:val="nil"/>
              <w:left w:val="nil"/>
              <w:bottom w:val="single" w:sz="4" w:space="0" w:color="auto"/>
              <w:right w:val="single" w:sz="4" w:space="0" w:color="auto"/>
            </w:tcBorders>
            <w:shd w:val="clear" w:color="auto" w:fill="auto"/>
          </w:tcPr>
          <w:p w:rsidR="00C478ED" w:rsidRDefault="00C478ED" w:rsidP="00FA6D3A">
            <w:pPr>
              <w:jc w:val="center"/>
              <w:rPr>
                <w:sz w:val="22"/>
                <w:szCs w:val="22"/>
              </w:rPr>
            </w:pPr>
          </w:p>
        </w:tc>
        <w:tc>
          <w:tcPr>
            <w:tcW w:w="1443" w:type="dxa"/>
            <w:tcBorders>
              <w:top w:val="nil"/>
              <w:left w:val="nil"/>
              <w:bottom w:val="single" w:sz="4" w:space="0" w:color="auto"/>
              <w:right w:val="single" w:sz="4" w:space="0" w:color="auto"/>
            </w:tcBorders>
            <w:shd w:val="clear" w:color="auto" w:fill="auto"/>
          </w:tcPr>
          <w:p w:rsidR="00C478ED" w:rsidRDefault="00C478ED" w:rsidP="00FA6D3A">
            <w:pPr>
              <w:jc w:val="center"/>
              <w:rPr>
                <w:sz w:val="22"/>
                <w:szCs w:val="22"/>
              </w:rPr>
            </w:pPr>
          </w:p>
        </w:tc>
        <w:tc>
          <w:tcPr>
            <w:tcW w:w="1347" w:type="dxa"/>
            <w:gridSpan w:val="2"/>
            <w:tcBorders>
              <w:top w:val="nil"/>
              <w:left w:val="nil"/>
              <w:bottom w:val="single" w:sz="4" w:space="0" w:color="auto"/>
              <w:right w:val="single" w:sz="4" w:space="0" w:color="auto"/>
            </w:tcBorders>
            <w:shd w:val="clear" w:color="auto" w:fill="auto"/>
          </w:tcPr>
          <w:p w:rsidR="00C478ED" w:rsidRDefault="00C478ED" w:rsidP="00FA6D3A">
            <w:pPr>
              <w:rPr>
                <w:sz w:val="22"/>
                <w:szCs w:val="22"/>
              </w:rPr>
            </w:pPr>
            <w:r>
              <w:rPr>
                <w:sz w:val="22"/>
                <w:szCs w:val="22"/>
              </w:rPr>
              <w:t>56766</w:t>
            </w:r>
          </w:p>
        </w:tc>
        <w:tc>
          <w:tcPr>
            <w:tcW w:w="1329" w:type="dxa"/>
            <w:tcBorders>
              <w:top w:val="nil"/>
              <w:left w:val="nil"/>
              <w:bottom w:val="single" w:sz="4" w:space="0" w:color="auto"/>
              <w:right w:val="single" w:sz="4" w:space="0" w:color="auto"/>
            </w:tcBorders>
            <w:shd w:val="clear" w:color="auto" w:fill="auto"/>
          </w:tcPr>
          <w:p w:rsidR="00C478ED" w:rsidRDefault="00C478ED" w:rsidP="00FA6D3A">
            <w:pPr>
              <w:jc w:val="center"/>
              <w:rPr>
                <w:sz w:val="22"/>
                <w:szCs w:val="22"/>
              </w:rPr>
            </w:pPr>
            <w:r>
              <w:rPr>
                <w:sz w:val="22"/>
                <w:szCs w:val="22"/>
              </w:rPr>
              <w:t>56766</w:t>
            </w:r>
          </w:p>
        </w:tc>
        <w:tc>
          <w:tcPr>
            <w:tcW w:w="1442" w:type="dxa"/>
            <w:tcBorders>
              <w:top w:val="nil"/>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p>
        </w:tc>
        <w:tc>
          <w:tcPr>
            <w:tcW w:w="1273" w:type="dxa"/>
            <w:tcBorders>
              <w:top w:val="nil"/>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p>
        </w:tc>
        <w:tc>
          <w:tcPr>
            <w:tcW w:w="1272" w:type="dxa"/>
            <w:tcBorders>
              <w:top w:val="nil"/>
              <w:left w:val="nil"/>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p>
        </w:tc>
        <w:tc>
          <w:tcPr>
            <w:tcW w:w="1161" w:type="dxa"/>
            <w:tcBorders>
              <w:top w:val="nil"/>
              <w:left w:val="nil"/>
              <w:bottom w:val="single" w:sz="4" w:space="0" w:color="auto"/>
              <w:right w:val="nil"/>
            </w:tcBorders>
            <w:shd w:val="clear" w:color="auto" w:fill="auto"/>
            <w:hideMark/>
          </w:tcPr>
          <w:p w:rsidR="00C478ED" w:rsidRDefault="00C478ED" w:rsidP="00FA6D3A">
            <w:pPr>
              <w:spacing w:line="259" w:lineRule="auto"/>
              <w:jc w:val="center"/>
              <w:rPr>
                <w:sz w:val="22"/>
                <w:szCs w:val="22"/>
              </w:rPr>
            </w:pPr>
          </w:p>
        </w:tc>
        <w:tc>
          <w:tcPr>
            <w:tcW w:w="1684" w:type="dxa"/>
            <w:tcBorders>
              <w:top w:val="nil"/>
              <w:left w:val="single" w:sz="4" w:space="0" w:color="auto"/>
              <w:bottom w:val="single" w:sz="4" w:space="0" w:color="auto"/>
              <w:right w:val="single" w:sz="4" w:space="0" w:color="auto"/>
            </w:tcBorders>
            <w:shd w:val="clear" w:color="auto" w:fill="auto"/>
            <w:hideMark/>
          </w:tcPr>
          <w:p w:rsidR="00C478ED" w:rsidRDefault="00C478ED" w:rsidP="00FA6D3A">
            <w:pPr>
              <w:spacing w:line="259" w:lineRule="auto"/>
              <w:jc w:val="center"/>
              <w:rPr>
                <w:sz w:val="22"/>
                <w:szCs w:val="22"/>
              </w:rPr>
            </w:pPr>
            <w:r>
              <w:rPr>
                <w:sz w:val="22"/>
                <w:szCs w:val="22"/>
              </w:rPr>
              <w:t>321672</w:t>
            </w:r>
          </w:p>
        </w:tc>
      </w:tr>
    </w:tbl>
    <w:p w:rsidR="00C478ED" w:rsidRDefault="00C478ED" w:rsidP="00C478ED"/>
    <w:p w:rsidR="006543ED" w:rsidRDefault="006543ED" w:rsidP="008C0C3F">
      <w:pPr>
        <w:autoSpaceDE w:val="0"/>
        <w:autoSpaceDN w:val="0"/>
        <w:adjustRightInd w:val="0"/>
        <w:ind w:left="3888"/>
      </w:pPr>
    </w:p>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Pr="006543ED" w:rsidRDefault="006543ED" w:rsidP="006543ED"/>
    <w:p w:rsidR="006543ED" w:rsidRDefault="006543ED" w:rsidP="006543ED"/>
    <w:p w:rsidR="006543ED" w:rsidRPr="006543ED" w:rsidRDefault="006543ED" w:rsidP="006543ED"/>
    <w:p w:rsidR="006543ED" w:rsidRPr="006543ED" w:rsidRDefault="006543ED" w:rsidP="006543ED">
      <w:pPr>
        <w:sectPr w:rsidR="006543ED" w:rsidRPr="006543ED" w:rsidSect="00CD2884">
          <w:pgSz w:w="16838" w:h="11906" w:orient="landscape" w:code="9"/>
          <w:pgMar w:top="284" w:right="851" w:bottom="567" w:left="1134" w:header="567" w:footer="567" w:gutter="0"/>
          <w:cols w:space="1296"/>
          <w:docGrid w:linePitch="360"/>
        </w:sectPr>
      </w:pPr>
    </w:p>
    <w:p w:rsidR="00577823" w:rsidRDefault="00577823" w:rsidP="006543ED">
      <w:pPr>
        <w:jc w:val="both"/>
      </w:pPr>
    </w:p>
    <w:sectPr w:rsidR="00577823" w:rsidSect="00267763">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0876774"/>
    <w:multiLevelType w:val="hybridMultilevel"/>
    <w:tmpl w:val="5630072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7C564F9F"/>
    <w:multiLevelType w:val="hybridMultilevel"/>
    <w:tmpl w:val="7440556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B83"/>
    <w:rsid w:val="0000153C"/>
    <w:rsid w:val="00005F98"/>
    <w:rsid w:val="00072080"/>
    <w:rsid w:val="000D0B1B"/>
    <w:rsid w:val="00175B83"/>
    <w:rsid w:val="001767B0"/>
    <w:rsid w:val="00267763"/>
    <w:rsid w:val="00286F85"/>
    <w:rsid w:val="002E25C0"/>
    <w:rsid w:val="002E5472"/>
    <w:rsid w:val="00326B30"/>
    <w:rsid w:val="00333776"/>
    <w:rsid w:val="003535A9"/>
    <w:rsid w:val="00395865"/>
    <w:rsid w:val="003C7653"/>
    <w:rsid w:val="004F0A5A"/>
    <w:rsid w:val="00577823"/>
    <w:rsid w:val="00594FDA"/>
    <w:rsid w:val="005E1008"/>
    <w:rsid w:val="006543ED"/>
    <w:rsid w:val="006C50B5"/>
    <w:rsid w:val="006F5609"/>
    <w:rsid w:val="007A0165"/>
    <w:rsid w:val="007D46EC"/>
    <w:rsid w:val="00832972"/>
    <w:rsid w:val="00852065"/>
    <w:rsid w:val="008C0C3F"/>
    <w:rsid w:val="009027B9"/>
    <w:rsid w:val="009A5E88"/>
    <w:rsid w:val="00BB239A"/>
    <w:rsid w:val="00C478ED"/>
    <w:rsid w:val="00CB00D1"/>
    <w:rsid w:val="00CD2884"/>
    <w:rsid w:val="00D0278E"/>
    <w:rsid w:val="00D475B4"/>
    <w:rsid w:val="00D56554"/>
    <w:rsid w:val="00DE2EB2"/>
    <w:rsid w:val="00DE6703"/>
    <w:rsid w:val="00E00F8D"/>
    <w:rsid w:val="00E11ADE"/>
    <w:rsid w:val="00E45C7D"/>
    <w:rsid w:val="00E61579"/>
    <w:rsid w:val="00E725B7"/>
    <w:rsid w:val="00EE6132"/>
    <w:rsid w:val="00F01168"/>
    <w:rsid w:val="00F22A7C"/>
    <w:rsid w:val="00F762E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8C0C3F"/>
    <w:pPr>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8C0C3F"/>
    <w:pPr>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30528">
      <w:bodyDiv w:val="1"/>
      <w:marLeft w:val="0"/>
      <w:marRight w:val="0"/>
      <w:marTop w:val="0"/>
      <w:marBottom w:val="0"/>
      <w:divBdr>
        <w:top w:val="none" w:sz="0" w:space="0" w:color="auto"/>
        <w:left w:val="none" w:sz="0" w:space="0" w:color="auto"/>
        <w:bottom w:val="none" w:sz="0" w:space="0" w:color="auto"/>
        <w:right w:val="none" w:sz="0" w:space="0" w:color="auto"/>
      </w:divBdr>
      <w:divsChild>
        <w:div w:id="1248688182">
          <w:marLeft w:val="0"/>
          <w:marRight w:val="0"/>
          <w:marTop w:val="0"/>
          <w:marBottom w:val="0"/>
          <w:divBdr>
            <w:top w:val="none" w:sz="0" w:space="0" w:color="auto"/>
            <w:left w:val="none" w:sz="0" w:space="0" w:color="auto"/>
            <w:bottom w:val="none" w:sz="0" w:space="0" w:color="auto"/>
            <w:right w:val="none" w:sz="0" w:space="0" w:color="auto"/>
          </w:divBdr>
        </w:div>
        <w:div w:id="1291978154">
          <w:marLeft w:val="0"/>
          <w:marRight w:val="0"/>
          <w:marTop w:val="0"/>
          <w:marBottom w:val="0"/>
          <w:divBdr>
            <w:top w:val="none" w:sz="0" w:space="0" w:color="auto"/>
            <w:left w:val="none" w:sz="0" w:space="0" w:color="auto"/>
            <w:bottom w:val="none" w:sz="0" w:space="0" w:color="auto"/>
            <w:right w:val="none" w:sz="0" w:space="0" w:color="auto"/>
          </w:divBdr>
        </w:div>
        <w:div w:id="1600142713">
          <w:marLeft w:val="0"/>
          <w:marRight w:val="0"/>
          <w:marTop w:val="0"/>
          <w:marBottom w:val="0"/>
          <w:divBdr>
            <w:top w:val="none" w:sz="0" w:space="0" w:color="auto"/>
            <w:left w:val="none" w:sz="0" w:space="0" w:color="auto"/>
            <w:bottom w:val="none" w:sz="0" w:space="0" w:color="auto"/>
            <w:right w:val="none" w:sz="0" w:space="0" w:color="auto"/>
          </w:divBdr>
        </w:div>
        <w:div w:id="2018968583">
          <w:marLeft w:val="0"/>
          <w:marRight w:val="0"/>
          <w:marTop w:val="0"/>
          <w:marBottom w:val="0"/>
          <w:divBdr>
            <w:top w:val="none" w:sz="0" w:space="0" w:color="auto"/>
            <w:left w:val="none" w:sz="0" w:space="0" w:color="auto"/>
            <w:bottom w:val="none" w:sz="0" w:space="0" w:color="auto"/>
            <w:right w:val="none" w:sz="0" w:space="0" w:color="auto"/>
          </w:divBdr>
        </w:div>
        <w:div w:id="418408903">
          <w:marLeft w:val="0"/>
          <w:marRight w:val="0"/>
          <w:marTop w:val="0"/>
          <w:marBottom w:val="0"/>
          <w:divBdr>
            <w:top w:val="none" w:sz="0" w:space="0" w:color="auto"/>
            <w:left w:val="none" w:sz="0" w:space="0" w:color="auto"/>
            <w:bottom w:val="none" w:sz="0" w:space="0" w:color="auto"/>
            <w:right w:val="none" w:sz="0" w:space="0" w:color="auto"/>
          </w:divBdr>
        </w:div>
        <w:div w:id="385417286">
          <w:marLeft w:val="0"/>
          <w:marRight w:val="0"/>
          <w:marTop w:val="0"/>
          <w:marBottom w:val="0"/>
          <w:divBdr>
            <w:top w:val="none" w:sz="0" w:space="0" w:color="auto"/>
            <w:left w:val="none" w:sz="0" w:space="0" w:color="auto"/>
            <w:bottom w:val="none" w:sz="0" w:space="0" w:color="auto"/>
            <w:right w:val="none" w:sz="0" w:space="0" w:color="auto"/>
          </w:divBdr>
        </w:div>
        <w:div w:id="2097510532">
          <w:marLeft w:val="0"/>
          <w:marRight w:val="0"/>
          <w:marTop w:val="0"/>
          <w:marBottom w:val="0"/>
          <w:divBdr>
            <w:top w:val="none" w:sz="0" w:space="0" w:color="auto"/>
            <w:left w:val="none" w:sz="0" w:space="0" w:color="auto"/>
            <w:bottom w:val="none" w:sz="0" w:space="0" w:color="auto"/>
            <w:right w:val="none" w:sz="0" w:space="0" w:color="auto"/>
          </w:divBdr>
        </w:div>
        <w:div w:id="393164561">
          <w:marLeft w:val="0"/>
          <w:marRight w:val="0"/>
          <w:marTop w:val="0"/>
          <w:marBottom w:val="0"/>
          <w:divBdr>
            <w:top w:val="none" w:sz="0" w:space="0" w:color="auto"/>
            <w:left w:val="none" w:sz="0" w:space="0" w:color="auto"/>
            <w:bottom w:val="none" w:sz="0" w:space="0" w:color="auto"/>
            <w:right w:val="none" w:sz="0" w:space="0" w:color="auto"/>
          </w:divBdr>
        </w:div>
        <w:div w:id="534581851">
          <w:marLeft w:val="0"/>
          <w:marRight w:val="0"/>
          <w:marTop w:val="0"/>
          <w:marBottom w:val="0"/>
          <w:divBdr>
            <w:top w:val="none" w:sz="0" w:space="0" w:color="auto"/>
            <w:left w:val="none" w:sz="0" w:space="0" w:color="auto"/>
            <w:bottom w:val="none" w:sz="0" w:space="0" w:color="auto"/>
            <w:right w:val="none" w:sz="0" w:space="0" w:color="auto"/>
          </w:divBdr>
        </w:div>
        <w:div w:id="871499258">
          <w:marLeft w:val="0"/>
          <w:marRight w:val="0"/>
          <w:marTop w:val="0"/>
          <w:marBottom w:val="0"/>
          <w:divBdr>
            <w:top w:val="none" w:sz="0" w:space="0" w:color="auto"/>
            <w:left w:val="none" w:sz="0" w:space="0" w:color="auto"/>
            <w:bottom w:val="none" w:sz="0" w:space="0" w:color="auto"/>
            <w:right w:val="none" w:sz="0" w:space="0" w:color="auto"/>
          </w:divBdr>
        </w:div>
        <w:div w:id="1102381306">
          <w:marLeft w:val="0"/>
          <w:marRight w:val="0"/>
          <w:marTop w:val="0"/>
          <w:marBottom w:val="0"/>
          <w:divBdr>
            <w:top w:val="none" w:sz="0" w:space="0" w:color="auto"/>
            <w:left w:val="none" w:sz="0" w:space="0" w:color="auto"/>
            <w:bottom w:val="none" w:sz="0" w:space="0" w:color="auto"/>
            <w:right w:val="none" w:sz="0" w:space="0" w:color="auto"/>
          </w:divBdr>
        </w:div>
        <w:div w:id="33237954">
          <w:marLeft w:val="0"/>
          <w:marRight w:val="0"/>
          <w:marTop w:val="0"/>
          <w:marBottom w:val="0"/>
          <w:divBdr>
            <w:top w:val="none" w:sz="0" w:space="0" w:color="auto"/>
            <w:left w:val="none" w:sz="0" w:space="0" w:color="auto"/>
            <w:bottom w:val="none" w:sz="0" w:space="0" w:color="auto"/>
            <w:right w:val="none" w:sz="0" w:space="0" w:color="auto"/>
          </w:divBdr>
        </w:div>
        <w:div w:id="1170291116">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17473">
      <w:bodyDiv w:val="1"/>
      <w:marLeft w:val="0"/>
      <w:marRight w:val="0"/>
      <w:marTop w:val="0"/>
      <w:marBottom w:val="0"/>
      <w:divBdr>
        <w:top w:val="none" w:sz="0" w:space="0" w:color="auto"/>
        <w:left w:val="none" w:sz="0" w:space="0" w:color="auto"/>
        <w:bottom w:val="none" w:sz="0" w:space="0" w:color="auto"/>
        <w:right w:val="none" w:sz="0" w:space="0" w:color="auto"/>
      </w:divBdr>
      <w:divsChild>
        <w:div w:id="2110390375">
          <w:marLeft w:val="0"/>
          <w:marRight w:val="0"/>
          <w:marTop w:val="0"/>
          <w:marBottom w:val="0"/>
          <w:divBdr>
            <w:top w:val="none" w:sz="0" w:space="0" w:color="auto"/>
            <w:left w:val="none" w:sz="0" w:space="0" w:color="auto"/>
            <w:bottom w:val="none" w:sz="0" w:space="0" w:color="auto"/>
            <w:right w:val="none" w:sz="0" w:space="0" w:color="auto"/>
          </w:divBdr>
        </w:div>
        <w:div w:id="2074884527">
          <w:marLeft w:val="0"/>
          <w:marRight w:val="0"/>
          <w:marTop w:val="0"/>
          <w:marBottom w:val="0"/>
          <w:divBdr>
            <w:top w:val="none" w:sz="0" w:space="0" w:color="auto"/>
            <w:left w:val="none" w:sz="0" w:space="0" w:color="auto"/>
            <w:bottom w:val="none" w:sz="0" w:space="0" w:color="auto"/>
            <w:right w:val="none" w:sz="0" w:space="0" w:color="auto"/>
          </w:divBdr>
        </w:div>
        <w:div w:id="375008322">
          <w:marLeft w:val="0"/>
          <w:marRight w:val="0"/>
          <w:marTop w:val="0"/>
          <w:marBottom w:val="0"/>
          <w:divBdr>
            <w:top w:val="none" w:sz="0" w:space="0" w:color="auto"/>
            <w:left w:val="none" w:sz="0" w:space="0" w:color="auto"/>
            <w:bottom w:val="none" w:sz="0" w:space="0" w:color="auto"/>
            <w:right w:val="none" w:sz="0" w:space="0" w:color="auto"/>
          </w:divBdr>
        </w:div>
        <w:div w:id="1779136124">
          <w:marLeft w:val="0"/>
          <w:marRight w:val="0"/>
          <w:marTop w:val="0"/>
          <w:marBottom w:val="0"/>
          <w:divBdr>
            <w:top w:val="none" w:sz="0" w:space="0" w:color="auto"/>
            <w:left w:val="none" w:sz="0" w:space="0" w:color="auto"/>
            <w:bottom w:val="none" w:sz="0" w:space="0" w:color="auto"/>
            <w:right w:val="none" w:sz="0" w:space="0" w:color="auto"/>
          </w:divBdr>
        </w:div>
        <w:div w:id="189072056">
          <w:marLeft w:val="0"/>
          <w:marRight w:val="0"/>
          <w:marTop w:val="0"/>
          <w:marBottom w:val="0"/>
          <w:divBdr>
            <w:top w:val="none" w:sz="0" w:space="0" w:color="auto"/>
            <w:left w:val="none" w:sz="0" w:space="0" w:color="auto"/>
            <w:bottom w:val="none" w:sz="0" w:space="0" w:color="auto"/>
            <w:right w:val="none" w:sz="0" w:space="0" w:color="auto"/>
          </w:divBdr>
        </w:div>
        <w:div w:id="1222981538">
          <w:marLeft w:val="0"/>
          <w:marRight w:val="0"/>
          <w:marTop w:val="0"/>
          <w:marBottom w:val="0"/>
          <w:divBdr>
            <w:top w:val="none" w:sz="0" w:space="0" w:color="auto"/>
            <w:left w:val="none" w:sz="0" w:space="0" w:color="auto"/>
            <w:bottom w:val="none" w:sz="0" w:space="0" w:color="auto"/>
            <w:right w:val="none" w:sz="0" w:space="0" w:color="auto"/>
          </w:divBdr>
        </w:div>
        <w:div w:id="1812405583">
          <w:marLeft w:val="0"/>
          <w:marRight w:val="0"/>
          <w:marTop w:val="0"/>
          <w:marBottom w:val="0"/>
          <w:divBdr>
            <w:top w:val="none" w:sz="0" w:space="0" w:color="auto"/>
            <w:left w:val="none" w:sz="0" w:space="0" w:color="auto"/>
            <w:bottom w:val="none" w:sz="0" w:space="0" w:color="auto"/>
            <w:right w:val="none" w:sz="0" w:space="0" w:color="auto"/>
          </w:divBdr>
        </w:div>
        <w:div w:id="48577275">
          <w:marLeft w:val="0"/>
          <w:marRight w:val="0"/>
          <w:marTop w:val="0"/>
          <w:marBottom w:val="0"/>
          <w:divBdr>
            <w:top w:val="none" w:sz="0" w:space="0" w:color="auto"/>
            <w:left w:val="none" w:sz="0" w:space="0" w:color="auto"/>
            <w:bottom w:val="none" w:sz="0" w:space="0" w:color="auto"/>
            <w:right w:val="none" w:sz="0" w:space="0" w:color="auto"/>
          </w:divBdr>
        </w:div>
        <w:div w:id="1232273615">
          <w:marLeft w:val="0"/>
          <w:marRight w:val="0"/>
          <w:marTop w:val="0"/>
          <w:marBottom w:val="0"/>
          <w:divBdr>
            <w:top w:val="none" w:sz="0" w:space="0" w:color="auto"/>
            <w:left w:val="none" w:sz="0" w:space="0" w:color="auto"/>
            <w:bottom w:val="none" w:sz="0" w:space="0" w:color="auto"/>
            <w:right w:val="none" w:sz="0" w:space="0" w:color="auto"/>
          </w:divBdr>
        </w:div>
        <w:div w:id="356977249">
          <w:marLeft w:val="0"/>
          <w:marRight w:val="0"/>
          <w:marTop w:val="0"/>
          <w:marBottom w:val="0"/>
          <w:divBdr>
            <w:top w:val="none" w:sz="0" w:space="0" w:color="auto"/>
            <w:left w:val="none" w:sz="0" w:space="0" w:color="auto"/>
            <w:bottom w:val="none" w:sz="0" w:space="0" w:color="auto"/>
            <w:right w:val="none" w:sz="0" w:space="0" w:color="auto"/>
          </w:divBdr>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105110142">
      <w:bodyDiv w:val="1"/>
      <w:marLeft w:val="0"/>
      <w:marRight w:val="0"/>
      <w:marTop w:val="0"/>
      <w:marBottom w:val="0"/>
      <w:divBdr>
        <w:top w:val="none" w:sz="0" w:space="0" w:color="auto"/>
        <w:left w:val="none" w:sz="0" w:space="0" w:color="auto"/>
        <w:bottom w:val="none" w:sz="0" w:space="0" w:color="auto"/>
        <w:right w:val="none" w:sz="0" w:space="0" w:color="auto"/>
      </w:divBdr>
      <w:divsChild>
        <w:div w:id="1832870376">
          <w:marLeft w:val="0"/>
          <w:marRight w:val="0"/>
          <w:marTop w:val="0"/>
          <w:marBottom w:val="0"/>
          <w:divBdr>
            <w:top w:val="none" w:sz="0" w:space="0" w:color="auto"/>
            <w:left w:val="none" w:sz="0" w:space="0" w:color="auto"/>
            <w:bottom w:val="none" w:sz="0" w:space="0" w:color="auto"/>
            <w:right w:val="none" w:sz="0" w:space="0" w:color="auto"/>
          </w:divBdr>
        </w:div>
        <w:div w:id="871504233">
          <w:marLeft w:val="0"/>
          <w:marRight w:val="0"/>
          <w:marTop w:val="0"/>
          <w:marBottom w:val="0"/>
          <w:divBdr>
            <w:top w:val="none" w:sz="0" w:space="0" w:color="auto"/>
            <w:left w:val="none" w:sz="0" w:space="0" w:color="auto"/>
            <w:bottom w:val="none" w:sz="0" w:space="0" w:color="auto"/>
            <w:right w:val="none" w:sz="0" w:space="0" w:color="auto"/>
          </w:divBdr>
        </w:div>
        <w:div w:id="1594168920">
          <w:marLeft w:val="0"/>
          <w:marRight w:val="0"/>
          <w:marTop w:val="0"/>
          <w:marBottom w:val="0"/>
          <w:divBdr>
            <w:top w:val="none" w:sz="0" w:space="0" w:color="auto"/>
            <w:left w:val="none" w:sz="0" w:space="0" w:color="auto"/>
            <w:bottom w:val="none" w:sz="0" w:space="0" w:color="auto"/>
            <w:right w:val="none" w:sz="0" w:space="0" w:color="auto"/>
          </w:divBdr>
        </w:div>
        <w:div w:id="970287780">
          <w:marLeft w:val="0"/>
          <w:marRight w:val="0"/>
          <w:marTop w:val="0"/>
          <w:marBottom w:val="0"/>
          <w:divBdr>
            <w:top w:val="none" w:sz="0" w:space="0" w:color="auto"/>
            <w:left w:val="none" w:sz="0" w:space="0" w:color="auto"/>
            <w:bottom w:val="none" w:sz="0" w:space="0" w:color="auto"/>
            <w:right w:val="none" w:sz="0" w:space="0" w:color="auto"/>
          </w:divBdr>
        </w:div>
        <w:div w:id="1239634788">
          <w:marLeft w:val="0"/>
          <w:marRight w:val="0"/>
          <w:marTop w:val="0"/>
          <w:marBottom w:val="0"/>
          <w:divBdr>
            <w:top w:val="none" w:sz="0" w:space="0" w:color="auto"/>
            <w:left w:val="none" w:sz="0" w:space="0" w:color="auto"/>
            <w:bottom w:val="none" w:sz="0" w:space="0" w:color="auto"/>
            <w:right w:val="none" w:sz="0" w:space="0" w:color="auto"/>
          </w:divBdr>
        </w:div>
        <w:div w:id="1347824264">
          <w:marLeft w:val="0"/>
          <w:marRight w:val="0"/>
          <w:marTop w:val="0"/>
          <w:marBottom w:val="0"/>
          <w:divBdr>
            <w:top w:val="none" w:sz="0" w:space="0" w:color="auto"/>
            <w:left w:val="none" w:sz="0" w:space="0" w:color="auto"/>
            <w:bottom w:val="none" w:sz="0" w:space="0" w:color="auto"/>
            <w:right w:val="none" w:sz="0" w:space="0" w:color="auto"/>
          </w:divBdr>
        </w:div>
        <w:div w:id="1010451202">
          <w:marLeft w:val="0"/>
          <w:marRight w:val="0"/>
          <w:marTop w:val="0"/>
          <w:marBottom w:val="0"/>
          <w:divBdr>
            <w:top w:val="none" w:sz="0" w:space="0" w:color="auto"/>
            <w:left w:val="none" w:sz="0" w:space="0" w:color="auto"/>
            <w:bottom w:val="none" w:sz="0" w:space="0" w:color="auto"/>
            <w:right w:val="none" w:sz="0" w:space="0" w:color="auto"/>
          </w:divBdr>
        </w:div>
        <w:div w:id="1038167716">
          <w:marLeft w:val="0"/>
          <w:marRight w:val="0"/>
          <w:marTop w:val="0"/>
          <w:marBottom w:val="0"/>
          <w:divBdr>
            <w:top w:val="none" w:sz="0" w:space="0" w:color="auto"/>
            <w:left w:val="none" w:sz="0" w:space="0" w:color="auto"/>
            <w:bottom w:val="none" w:sz="0" w:space="0" w:color="auto"/>
            <w:right w:val="none" w:sz="0" w:space="0" w:color="auto"/>
          </w:divBdr>
        </w:div>
        <w:div w:id="1562056929">
          <w:marLeft w:val="0"/>
          <w:marRight w:val="0"/>
          <w:marTop w:val="0"/>
          <w:marBottom w:val="0"/>
          <w:divBdr>
            <w:top w:val="none" w:sz="0" w:space="0" w:color="auto"/>
            <w:left w:val="none" w:sz="0" w:space="0" w:color="auto"/>
            <w:bottom w:val="none" w:sz="0" w:space="0" w:color="auto"/>
            <w:right w:val="none" w:sz="0" w:space="0" w:color="auto"/>
          </w:divBdr>
        </w:div>
        <w:div w:id="1867938156">
          <w:marLeft w:val="0"/>
          <w:marRight w:val="0"/>
          <w:marTop w:val="0"/>
          <w:marBottom w:val="0"/>
          <w:divBdr>
            <w:top w:val="none" w:sz="0" w:space="0" w:color="auto"/>
            <w:left w:val="none" w:sz="0" w:space="0" w:color="auto"/>
            <w:bottom w:val="none" w:sz="0" w:space="0" w:color="auto"/>
            <w:right w:val="none" w:sz="0" w:space="0" w:color="auto"/>
          </w:divBdr>
        </w:div>
        <w:div w:id="1127699201">
          <w:marLeft w:val="0"/>
          <w:marRight w:val="0"/>
          <w:marTop w:val="0"/>
          <w:marBottom w:val="0"/>
          <w:divBdr>
            <w:top w:val="none" w:sz="0" w:space="0" w:color="auto"/>
            <w:left w:val="none" w:sz="0" w:space="0" w:color="auto"/>
            <w:bottom w:val="none" w:sz="0" w:space="0" w:color="auto"/>
            <w:right w:val="none" w:sz="0" w:space="0" w:color="auto"/>
          </w:divBdr>
        </w:div>
        <w:div w:id="1872958197">
          <w:marLeft w:val="0"/>
          <w:marRight w:val="0"/>
          <w:marTop w:val="0"/>
          <w:marBottom w:val="0"/>
          <w:divBdr>
            <w:top w:val="none" w:sz="0" w:space="0" w:color="auto"/>
            <w:left w:val="none" w:sz="0" w:space="0" w:color="auto"/>
            <w:bottom w:val="none" w:sz="0" w:space="0" w:color="auto"/>
            <w:right w:val="none" w:sz="0" w:space="0" w:color="auto"/>
          </w:divBdr>
        </w:div>
        <w:div w:id="1136991154">
          <w:marLeft w:val="0"/>
          <w:marRight w:val="0"/>
          <w:marTop w:val="0"/>
          <w:marBottom w:val="0"/>
          <w:divBdr>
            <w:top w:val="none" w:sz="0" w:space="0" w:color="auto"/>
            <w:left w:val="none" w:sz="0" w:space="0" w:color="auto"/>
            <w:bottom w:val="none" w:sz="0" w:space="0" w:color="auto"/>
            <w:right w:val="none" w:sz="0" w:space="0" w:color="auto"/>
          </w:divBdr>
        </w:div>
        <w:div w:id="221869727">
          <w:marLeft w:val="0"/>
          <w:marRight w:val="0"/>
          <w:marTop w:val="0"/>
          <w:marBottom w:val="0"/>
          <w:divBdr>
            <w:top w:val="none" w:sz="0" w:space="0" w:color="auto"/>
            <w:left w:val="none" w:sz="0" w:space="0" w:color="auto"/>
            <w:bottom w:val="none" w:sz="0" w:space="0" w:color="auto"/>
            <w:right w:val="none" w:sz="0" w:space="0" w:color="auto"/>
          </w:divBdr>
        </w:div>
        <w:div w:id="1744176734">
          <w:marLeft w:val="0"/>
          <w:marRight w:val="0"/>
          <w:marTop w:val="0"/>
          <w:marBottom w:val="0"/>
          <w:divBdr>
            <w:top w:val="none" w:sz="0" w:space="0" w:color="auto"/>
            <w:left w:val="none" w:sz="0" w:space="0" w:color="auto"/>
            <w:bottom w:val="none" w:sz="0" w:space="0" w:color="auto"/>
            <w:right w:val="none" w:sz="0" w:space="0" w:color="auto"/>
          </w:divBdr>
        </w:div>
        <w:div w:id="1032996723">
          <w:marLeft w:val="0"/>
          <w:marRight w:val="0"/>
          <w:marTop w:val="0"/>
          <w:marBottom w:val="0"/>
          <w:divBdr>
            <w:top w:val="none" w:sz="0" w:space="0" w:color="auto"/>
            <w:left w:val="none" w:sz="0" w:space="0" w:color="auto"/>
            <w:bottom w:val="none" w:sz="0" w:space="0" w:color="auto"/>
            <w:right w:val="none" w:sz="0" w:space="0" w:color="auto"/>
          </w:divBdr>
        </w:div>
        <w:div w:id="590506735">
          <w:marLeft w:val="0"/>
          <w:marRight w:val="0"/>
          <w:marTop w:val="0"/>
          <w:marBottom w:val="0"/>
          <w:divBdr>
            <w:top w:val="none" w:sz="0" w:space="0" w:color="auto"/>
            <w:left w:val="none" w:sz="0" w:space="0" w:color="auto"/>
            <w:bottom w:val="none" w:sz="0" w:space="0" w:color="auto"/>
            <w:right w:val="none" w:sz="0" w:space="0" w:color="auto"/>
          </w:divBdr>
        </w:div>
        <w:div w:id="1803040112">
          <w:marLeft w:val="0"/>
          <w:marRight w:val="0"/>
          <w:marTop w:val="0"/>
          <w:marBottom w:val="0"/>
          <w:divBdr>
            <w:top w:val="none" w:sz="0" w:space="0" w:color="auto"/>
            <w:left w:val="none" w:sz="0" w:space="0" w:color="auto"/>
            <w:bottom w:val="none" w:sz="0" w:space="0" w:color="auto"/>
            <w:right w:val="none" w:sz="0" w:space="0" w:color="auto"/>
          </w:divBdr>
        </w:div>
        <w:div w:id="829255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10</TotalTime>
  <Pages>3</Pages>
  <Words>388</Words>
  <Characters>3088</Characters>
  <Application>Microsoft Office Word</Application>
  <DocSecurity>0</DocSecurity>
  <Lines>25</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9</cp:revision>
  <cp:lastPrinted>2016-10-17T06:22:00Z</cp:lastPrinted>
  <dcterms:created xsi:type="dcterms:W3CDTF">2016-10-17T11:00:00Z</dcterms:created>
  <dcterms:modified xsi:type="dcterms:W3CDTF">2016-10-28T04:48:00Z</dcterms:modified>
</cp:coreProperties>
</file>