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9627"/>
      </w:tblGrid>
      <w:tr w:rsidR="00DC2C8C" w:rsidRPr="007E53CF">
        <w:trPr>
          <w:trHeight w:val="561"/>
          <w:jc w:val="right"/>
        </w:trPr>
        <w:tc>
          <w:tcPr>
            <w:tcW w:w="9627" w:type="dxa"/>
          </w:tcPr>
          <w:p w:rsidR="00DC2C8C" w:rsidRPr="00403B9C" w:rsidRDefault="00DC2C8C" w:rsidP="00403B9C">
            <w:pPr>
              <w:jc w:val="right"/>
              <w:rPr>
                <w:lang w:val="en-US" w:eastAsia="ja-JP"/>
              </w:rPr>
            </w:pPr>
            <w:proofErr w:type="spellStart"/>
            <w:r w:rsidRPr="00403B9C">
              <w:rPr>
                <w:lang w:val="en-US" w:eastAsia="ja-JP"/>
              </w:rPr>
              <w:t>Plungės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rajono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savivaldybės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vietinės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rinkliavos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už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komunalinių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atliekų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surinkimą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iš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atliekų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turėtojų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ir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atliekų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tvarkymą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  <w:proofErr w:type="spellStart"/>
            <w:r w:rsidRPr="00403B9C">
              <w:rPr>
                <w:lang w:val="en-US" w:eastAsia="ja-JP"/>
              </w:rPr>
              <w:t>nuostatų</w:t>
            </w:r>
            <w:proofErr w:type="spellEnd"/>
            <w:r w:rsidRPr="00403B9C">
              <w:rPr>
                <w:lang w:val="en-US" w:eastAsia="ja-JP"/>
              </w:rPr>
              <w:t xml:space="preserve"> </w:t>
            </w:r>
          </w:p>
        </w:tc>
      </w:tr>
      <w:tr w:rsidR="00DC2C8C">
        <w:trPr>
          <w:jc w:val="right"/>
        </w:trPr>
        <w:tc>
          <w:tcPr>
            <w:tcW w:w="9627" w:type="dxa"/>
          </w:tcPr>
          <w:p w:rsidR="00DC2C8C" w:rsidRPr="00F02892" w:rsidRDefault="00DC2C8C" w:rsidP="00403B9C">
            <w:pPr>
              <w:jc w:val="right"/>
              <w:rPr>
                <w:lang w:eastAsia="ja-JP"/>
              </w:rPr>
            </w:pPr>
            <w:proofErr w:type="spellStart"/>
            <w:r w:rsidRPr="00F02892">
              <w:rPr>
                <w:lang w:val="en-US" w:eastAsia="ja-JP"/>
              </w:rPr>
              <w:t>priedas</w:t>
            </w:r>
            <w:proofErr w:type="spellEnd"/>
          </w:p>
        </w:tc>
      </w:tr>
    </w:tbl>
    <w:p w:rsidR="00DC2C8C" w:rsidRDefault="00DC2C8C" w:rsidP="00A50700">
      <w:pPr>
        <w:rPr>
          <w:b/>
          <w:bCs/>
          <w:color w:val="000000"/>
        </w:rPr>
      </w:pPr>
    </w:p>
    <w:p w:rsidR="00DC2C8C" w:rsidRPr="005B2015" w:rsidRDefault="00DC2C8C" w:rsidP="00A50700">
      <w:pPr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VIETINĖS RINKLIAVOS UŽ KOMUNALINIŲ ATLIEKŲ SURINKIMĄ IŠ ATLIEKŲ TURĖTOJŲ IR ATLIEKŲ TVARKYMĄ DYDŽIAI</w:t>
      </w:r>
    </w:p>
    <w:p w:rsidR="00DC2C8C" w:rsidRPr="001B0703" w:rsidRDefault="00DC2C8C" w:rsidP="00A50700">
      <w:pPr>
        <w:spacing w:line="276" w:lineRule="auto"/>
        <w:rPr>
          <w:b/>
          <w:bCs/>
        </w:rPr>
      </w:pPr>
    </w:p>
    <w:tbl>
      <w:tblPr>
        <w:tblpPr w:leftFromText="180" w:rightFromText="180" w:vertAnchor="text" w:horzAnchor="margin" w:tblpXSpec="center" w:tblpY="51"/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3519"/>
        <w:gridCol w:w="1839"/>
        <w:gridCol w:w="1560"/>
        <w:gridCol w:w="1587"/>
        <w:gridCol w:w="1843"/>
        <w:gridCol w:w="1701"/>
        <w:gridCol w:w="1673"/>
      </w:tblGrid>
      <w:tr w:rsidR="00DC2C8C">
        <w:trPr>
          <w:trHeight w:val="180"/>
          <w:tblHeader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Nekilnojamojo turto objektų kategorija</w:t>
            </w:r>
          </w:p>
        </w:tc>
        <w:tc>
          <w:tcPr>
            <w:tcW w:w="183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Pastovus administravimo parametras</w:t>
            </w:r>
          </w:p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Pastovus įmokos dydis,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 xml:space="preserve">/vnt./metus </w:t>
            </w:r>
          </w:p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su PVM</w:t>
            </w:r>
          </w:p>
        </w:tc>
        <w:tc>
          <w:tcPr>
            <w:tcW w:w="1587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Kintamas administravimo parametras</w:t>
            </w:r>
            <w:r>
              <w:rPr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Kintamas įmokos dydis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/vnt./metus su PVM</w:t>
            </w:r>
          </w:p>
        </w:tc>
        <w:tc>
          <w:tcPr>
            <w:tcW w:w="1701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Kintamas administravimo parametras</w:t>
            </w:r>
            <w:r>
              <w:rPr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67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Kintamas įmokos dydis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 xml:space="preserve"> su PVM</w:t>
            </w:r>
          </w:p>
        </w:tc>
      </w:tr>
      <w:tr w:rsidR="00DC2C8C">
        <w:trPr>
          <w:trHeight w:val="241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t xml:space="preserve">Gyvenamosios paskirties </w:t>
            </w:r>
            <w:r>
              <w:rPr>
                <w:sz w:val="22"/>
                <w:szCs w:val="22"/>
              </w:rPr>
              <w:t>butai daugiabučiuose namuose</w:t>
            </w:r>
          </w:p>
        </w:tc>
        <w:tc>
          <w:tcPr>
            <w:tcW w:w="1839" w:type="dxa"/>
            <w:vMerge w:val="restart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Nekilnojamojo turto paskirtis ir objektų skaičius</w:t>
            </w:r>
          </w:p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587" w:type="dxa"/>
            <w:vAlign w:val="center"/>
          </w:tcPr>
          <w:p w:rsidR="00DC2C8C" w:rsidRPr="001750E8" w:rsidRDefault="00DC2C8C" w:rsidP="001E79D6">
            <w:pPr>
              <w:spacing w:line="276" w:lineRule="auto"/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</w:rPr>
              <w:t>Gyventojų skaičius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13,20</w:t>
            </w:r>
          </w:p>
        </w:tc>
        <w:tc>
          <w:tcPr>
            <w:tcW w:w="1701" w:type="dxa"/>
            <w:vMerge w:val="restart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 w:rsidRPr="004333D7">
              <w:rPr>
                <w:sz w:val="22"/>
                <w:szCs w:val="22"/>
              </w:rPr>
              <w:t xml:space="preserve">Konteinerių skaičius, tūris ir ištuštinimo dažnis </w:t>
            </w:r>
            <w:r>
              <w:rPr>
                <w:sz w:val="22"/>
                <w:szCs w:val="22"/>
              </w:rPr>
              <w:t>(1 m</w:t>
            </w:r>
            <w:r w:rsidRPr="004030E9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ištuštinimas)</w:t>
            </w:r>
          </w:p>
        </w:tc>
        <w:tc>
          <w:tcPr>
            <w:tcW w:w="1673" w:type="dxa"/>
            <w:vMerge w:val="restart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12,50</w:t>
            </w:r>
          </w:p>
        </w:tc>
      </w:tr>
      <w:tr w:rsidR="00DC2C8C">
        <w:trPr>
          <w:trHeight w:val="208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t xml:space="preserve">Gyvenamosios paskirties </w:t>
            </w:r>
            <w:r>
              <w:rPr>
                <w:sz w:val="22"/>
                <w:szCs w:val="22"/>
              </w:rPr>
              <w:t>individualūs namai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587" w:type="dxa"/>
            <w:vMerge w:val="restart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Nekilnojamojo turto paskirtis ir objektų skaičius</w:t>
            </w:r>
          </w:p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  <w:tc>
          <w:tcPr>
            <w:tcW w:w="1673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</w:tr>
      <w:tr w:rsidR="00DC2C8C">
        <w:trPr>
          <w:trHeight w:val="146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 w:rsidRPr="004333D7">
              <w:t>Gyvenamosios paskirties įvairių socialinių grupių asmenims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587" w:type="dxa"/>
            <w:vMerge/>
            <w:vAlign w:val="center"/>
          </w:tcPr>
          <w:p w:rsidR="00DC2C8C" w:rsidRPr="001750E8" w:rsidRDefault="00DC2C8C" w:rsidP="001E79D6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  <w:tc>
          <w:tcPr>
            <w:tcW w:w="1673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4.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Viešbučių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133,00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133,00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  <w:tc>
          <w:tcPr>
            <w:tcW w:w="1673" w:type="dxa"/>
            <w:vMerge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</w:p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5.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Administracinės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63,00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63,00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6.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Prekybos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99,00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99,00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7.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Paslaugų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8.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Maitinimo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9.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Transporto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10.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Garažų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3,50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11.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Gamybos, pramonės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57,00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57,00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12.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Sandėliavimo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13.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Kultūros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14.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Mokslo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129,00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129,00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lastRenderedPageBreak/>
              <w:t>15.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Gydymo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138,00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138,00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16.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Poilsio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87,00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87,00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17.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Sporto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</w:tcPr>
          <w:p w:rsidR="00DC2C8C" w:rsidRPr="00C05071" w:rsidRDefault="00DC2C8C" w:rsidP="00C05071">
            <w:pPr>
              <w:spacing w:line="276" w:lineRule="auto"/>
              <w:jc w:val="center"/>
            </w:pPr>
            <w:r w:rsidRPr="00C05071">
              <w:rPr>
                <w:sz w:val="22"/>
                <w:szCs w:val="22"/>
              </w:rPr>
              <w:t>70,00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18.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Religinės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</w:tcPr>
          <w:p w:rsidR="00DC2C8C" w:rsidRPr="00C05071" w:rsidRDefault="00DC2C8C" w:rsidP="00C05071">
            <w:pPr>
              <w:spacing w:line="276" w:lineRule="auto"/>
              <w:jc w:val="center"/>
            </w:pPr>
            <w:r w:rsidRPr="00C05071">
              <w:rPr>
                <w:sz w:val="22"/>
                <w:szCs w:val="22"/>
              </w:rPr>
              <w:t>18,00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19.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Specialiosios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85,00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</w:tcPr>
          <w:p w:rsidR="00DC2C8C" w:rsidRPr="00C05071" w:rsidRDefault="00DC2C8C" w:rsidP="00C05071">
            <w:pPr>
              <w:spacing w:line="276" w:lineRule="auto"/>
              <w:jc w:val="center"/>
            </w:pPr>
            <w:r w:rsidRPr="00C05071">
              <w:rPr>
                <w:sz w:val="22"/>
                <w:szCs w:val="22"/>
              </w:rPr>
              <w:t>85,00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20.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Sodų paskirties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</w:tcPr>
          <w:p w:rsidR="00DC2C8C" w:rsidRPr="00C05071" w:rsidRDefault="00DC2C8C" w:rsidP="00C05071">
            <w:pPr>
              <w:spacing w:line="276" w:lineRule="auto"/>
              <w:jc w:val="center"/>
            </w:pPr>
            <w:r w:rsidRPr="00C05071">
              <w:rPr>
                <w:sz w:val="22"/>
                <w:szCs w:val="22"/>
              </w:rPr>
              <w:t>8,00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  <w:tr w:rsidR="00DC2C8C">
        <w:trPr>
          <w:trHeight w:val="180"/>
        </w:trPr>
        <w:tc>
          <w:tcPr>
            <w:tcW w:w="592" w:type="dxa"/>
            <w:vAlign w:val="center"/>
          </w:tcPr>
          <w:p w:rsidR="00DC2C8C" w:rsidRDefault="00DC2C8C" w:rsidP="001E79D6">
            <w:pPr>
              <w:spacing w:line="276" w:lineRule="auto"/>
              <w:jc w:val="both"/>
            </w:pPr>
            <w:r>
              <w:t>21.</w:t>
            </w:r>
          </w:p>
        </w:tc>
        <w:tc>
          <w:tcPr>
            <w:tcW w:w="3519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Kiti objektai</w:t>
            </w:r>
          </w:p>
        </w:tc>
        <w:tc>
          <w:tcPr>
            <w:tcW w:w="1839" w:type="dxa"/>
            <w:vMerge/>
            <w:vAlign w:val="center"/>
          </w:tcPr>
          <w:p w:rsidR="00DC2C8C" w:rsidRDefault="00DC2C8C" w:rsidP="001E79D6"/>
        </w:tc>
        <w:tc>
          <w:tcPr>
            <w:tcW w:w="1560" w:type="dxa"/>
            <w:vAlign w:val="center"/>
          </w:tcPr>
          <w:p w:rsidR="00DC2C8C" w:rsidRDefault="00DC2C8C" w:rsidP="001E79D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148,00</w:t>
            </w:r>
          </w:p>
        </w:tc>
        <w:tc>
          <w:tcPr>
            <w:tcW w:w="1587" w:type="dxa"/>
            <w:vMerge/>
            <w:vAlign w:val="center"/>
          </w:tcPr>
          <w:p w:rsidR="00DC2C8C" w:rsidRDefault="00DC2C8C" w:rsidP="001E79D6"/>
        </w:tc>
        <w:tc>
          <w:tcPr>
            <w:tcW w:w="1843" w:type="dxa"/>
          </w:tcPr>
          <w:p w:rsidR="00DC2C8C" w:rsidRPr="00C05071" w:rsidRDefault="00DC2C8C" w:rsidP="00C05071">
            <w:pPr>
              <w:spacing w:line="276" w:lineRule="auto"/>
              <w:jc w:val="center"/>
            </w:pPr>
            <w:r w:rsidRPr="00C05071">
              <w:rPr>
                <w:sz w:val="22"/>
                <w:szCs w:val="22"/>
              </w:rPr>
              <w:t>148,00</w:t>
            </w:r>
          </w:p>
        </w:tc>
        <w:tc>
          <w:tcPr>
            <w:tcW w:w="1701" w:type="dxa"/>
            <w:vMerge/>
            <w:vAlign w:val="center"/>
          </w:tcPr>
          <w:p w:rsidR="00DC2C8C" w:rsidRDefault="00DC2C8C" w:rsidP="001E79D6"/>
        </w:tc>
        <w:tc>
          <w:tcPr>
            <w:tcW w:w="1673" w:type="dxa"/>
            <w:vMerge/>
            <w:vAlign w:val="center"/>
          </w:tcPr>
          <w:p w:rsidR="00DC2C8C" w:rsidRDefault="00DC2C8C" w:rsidP="001E79D6"/>
        </w:tc>
      </w:tr>
    </w:tbl>
    <w:p w:rsidR="00DC2C8C" w:rsidRDefault="00DC2C8C" w:rsidP="00A50700">
      <w:pPr>
        <w:rPr>
          <w:b/>
          <w:bCs/>
          <w:color w:val="000000"/>
        </w:rPr>
      </w:pPr>
    </w:p>
    <w:p w:rsidR="00DC2C8C" w:rsidRDefault="00DC2C8C" w:rsidP="00A50700">
      <w:r w:rsidRPr="007B6E70">
        <w:t>Atliekų turėtojai, kurie nėra susieti su konkrečiu nekilnojamojo turto objektu</w:t>
      </w:r>
      <w:r>
        <w:t>, bet naudojasi komunalinių atliekų tvarkymo sistema,</w:t>
      </w:r>
      <w:r w:rsidRPr="007B6E70">
        <w:t xml:space="preserve"> </w:t>
      </w:r>
      <w:r>
        <w:t>už 1 m</w:t>
      </w:r>
      <w:r w:rsidRPr="000965CA">
        <w:rPr>
          <w:vertAlign w:val="superscript"/>
        </w:rPr>
        <w:t>3</w:t>
      </w:r>
      <w:r>
        <w:t xml:space="preserve"> atliekų sutvarkymą moka 25,00 </w:t>
      </w:r>
      <w:proofErr w:type="spellStart"/>
      <w:r>
        <w:t>Eur</w:t>
      </w:r>
      <w:proofErr w:type="spellEnd"/>
      <w:r>
        <w:t xml:space="preserve"> su PVM.</w:t>
      </w:r>
    </w:p>
    <w:p w:rsidR="00DC2C8C" w:rsidRDefault="00DC2C8C" w:rsidP="00A50700"/>
    <w:p w:rsidR="00DC2C8C" w:rsidRDefault="00DC2C8C">
      <w:r>
        <w:t>________________</w:t>
      </w:r>
    </w:p>
    <w:p w:rsidR="00DC2C8C" w:rsidRDefault="00DC2C8C" w:rsidP="00F02892">
      <w:pPr>
        <w:pStyle w:val="Puslapioinaostekstas"/>
      </w:pPr>
      <w:r>
        <w:rPr>
          <w:rStyle w:val="Puslapioinaosnuoroda"/>
        </w:rPr>
        <w:footnoteRef/>
      </w:r>
      <w:r>
        <w:t xml:space="preserve"> Parametras naudojamas, kai NT objektui neįmanoma priskirti konkrečios tik tam nekilnojamojo turto objektui naudoti </w:t>
      </w:r>
      <w:r w:rsidRPr="00DF0806">
        <w:t>skirtos</w:t>
      </w:r>
      <w:r>
        <w:t xml:space="preserve"> konteinerių aikštelės ar individualaus konteinerio.</w:t>
      </w:r>
    </w:p>
    <w:p w:rsidR="00DC2C8C" w:rsidRDefault="00DC2C8C" w:rsidP="00F02892">
      <w:pPr>
        <w:pStyle w:val="Puslapioinaostekstas"/>
      </w:pPr>
      <w:r>
        <w:rPr>
          <w:rStyle w:val="Puslapioinaosnuoroda"/>
        </w:rPr>
        <w:t>2</w:t>
      </w:r>
      <w:r w:rsidRPr="00DF0806">
        <w:t>Parametra</w:t>
      </w:r>
      <w:r>
        <w:t xml:space="preserve">s naudojamas, kai NT objektui </w:t>
      </w:r>
      <w:r w:rsidRPr="00DF0806">
        <w:t>įmanoma pris</w:t>
      </w:r>
      <w:r>
        <w:t>kirti konkrečią</w:t>
      </w:r>
      <w:r w:rsidRPr="00DF0806">
        <w:t xml:space="preserve"> tik tam nekilnojamoj</w:t>
      </w:r>
      <w:r>
        <w:t>o turto objektui naudoti skirtą konteinerių aikštelę</w:t>
      </w:r>
      <w:r w:rsidRPr="00DF0806">
        <w:t xml:space="preserve"> ar individual</w:t>
      </w:r>
      <w:r>
        <w:t>ų konteinerį.</w:t>
      </w:r>
    </w:p>
    <w:p w:rsidR="00DC2C8C" w:rsidRPr="00594A5C" w:rsidRDefault="00DC2C8C">
      <w:pPr>
        <w:rPr>
          <w:sz w:val="20"/>
          <w:szCs w:val="20"/>
        </w:rPr>
      </w:pPr>
      <w:r w:rsidRPr="00594A5C">
        <w:rPr>
          <w:sz w:val="20"/>
          <w:szCs w:val="20"/>
          <w:vertAlign w:val="superscript"/>
        </w:rPr>
        <w:t>3</w:t>
      </w:r>
      <w:r w:rsidRPr="00594A5C">
        <w:rPr>
          <w:sz w:val="20"/>
          <w:szCs w:val="20"/>
        </w:rPr>
        <w:t>Maksimali kintamo administravimo parametro reikšmė - 4 gyventojai, t. y. iki keturių bute gyvenančių asmenų įmoka skaičiuojama už tiek asmenų, kiek bute gyvena; jeigu bute gyvena daugiau nei 4 asmenys, įmoka skaičiuojama tik už 4 asmenis.</w:t>
      </w:r>
    </w:p>
    <w:sectPr w:rsidR="00DC2C8C" w:rsidRPr="00594A5C" w:rsidSect="00342885">
      <w:pgSz w:w="15840" w:h="12240" w:orient="landscape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8C" w:rsidRDefault="00DC2C8C" w:rsidP="00A50700">
      <w:r>
        <w:separator/>
      </w:r>
    </w:p>
  </w:endnote>
  <w:endnote w:type="continuationSeparator" w:id="0">
    <w:p w:rsidR="00DC2C8C" w:rsidRDefault="00DC2C8C" w:rsidP="00A5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8C" w:rsidRDefault="00DC2C8C" w:rsidP="00A50700">
      <w:r>
        <w:separator/>
      </w:r>
    </w:p>
  </w:footnote>
  <w:footnote w:type="continuationSeparator" w:id="0">
    <w:p w:rsidR="00DC2C8C" w:rsidRDefault="00DC2C8C" w:rsidP="00A50700">
      <w:r>
        <w:continuationSeparator/>
      </w:r>
    </w:p>
  </w:footnote>
  <w:footnote w:id="1">
    <w:p w:rsidR="00DC2C8C" w:rsidRDefault="00DC2C8C" w:rsidP="000D73A1">
      <w:pPr>
        <w:pStyle w:val="Puslapioinaostekstas"/>
      </w:pPr>
      <w:r>
        <w:rPr>
          <w:rStyle w:val="Puslapioinaosnuoroda"/>
        </w:rPr>
        <w:footnoteRef/>
      </w:r>
      <w:r>
        <w:t>Parametras naudojamas, kai NT objektui neįmanoma priskirti konkrečios tik tam nekilnojamojo turto objektui naudoti skirtos konteinerių aikštelės ar individualaus konteinerio.</w:t>
      </w:r>
    </w:p>
  </w:footnote>
  <w:footnote w:id="2">
    <w:p w:rsidR="00DC2C8C" w:rsidRDefault="00DC2C8C" w:rsidP="000D73A1">
      <w:pPr>
        <w:pStyle w:val="Puslapioinaostekstas"/>
      </w:pPr>
      <w:r>
        <w:rPr>
          <w:rStyle w:val="Puslapioinaosnuoroda"/>
        </w:rPr>
        <w:footnoteRef/>
      </w:r>
      <w:r>
        <w:t>Parametras naudojamas, kai NT objektui įmanoma priskirti konkrečią tik tam nekilnojamojo turto objektui naudoti skirtą konteinerių aikštelę ar individualų konteinerį.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9D3"/>
    <w:rsid w:val="00047CBA"/>
    <w:rsid w:val="000965CA"/>
    <w:rsid w:val="000B570C"/>
    <w:rsid w:val="000D73A1"/>
    <w:rsid w:val="000E3D53"/>
    <w:rsid w:val="001750E8"/>
    <w:rsid w:val="001B0703"/>
    <w:rsid w:val="001B3A99"/>
    <w:rsid w:val="001C11BF"/>
    <w:rsid w:val="001E79D6"/>
    <w:rsid w:val="00342885"/>
    <w:rsid w:val="00381630"/>
    <w:rsid w:val="003E5E8B"/>
    <w:rsid w:val="004030E9"/>
    <w:rsid w:val="00403B9C"/>
    <w:rsid w:val="004333D7"/>
    <w:rsid w:val="004853B9"/>
    <w:rsid w:val="00485A65"/>
    <w:rsid w:val="004C0B9E"/>
    <w:rsid w:val="004E701B"/>
    <w:rsid w:val="00594A5C"/>
    <w:rsid w:val="005B2015"/>
    <w:rsid w:val="005C3E7E"/>
    <w:rsid w:val="006B244A"/>
    <w:rsid w:val="006C1F33"/>
    <w:rsid w:val="007B6E70"/>
    <w:rsid w:val="007E53CF"/>
    <w:rsid w:val="00837907"/>
    <w:rsid w:val="00936EBC"/>
    <w:rsid w:val="00A50700"/>
    <w:rsid w:val="00A97B91"/>
    <w:rsid w:val="00B33034"/>
    <w:rsid w:val="00B36267"/>
    <w:rsid w:val="00B7547F"/>
    <w:rsid w:val="00BD31C3"/>
    <w:rsid w:val="00BF1EFD"/>
    <w:rsid w:val="00BF33CE"/>
    <w:rsid w:val="00C05071"/>
    <w:rsid w:val="00C81490"/>
    <w:rsid w:val="00D7125C"/>
    <w:rsid w:val="00D735FC"/>
    <w:rsid w:val="00DB26C6"/>
    <w:rsid w:val="00DC2C8C"/>
    <w:rsid w:val="00DF0806"/>
    <w:rsid w:val="00E123CB"/>
    <w:rsid w:val="00F02892"/>
    <w:rsid w:val="00F15A28"/>
    <w:rsid w:val="00F35931"/>
    <w:rsid w:val="00F516E8"/>
    <w:rsid w:val="00F769D3"/>
    <w:rsid w:val="00FB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50700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rsid w:val="00A5070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locked/>
    <w:rsid w:val="00A50700"/>
    <w:rPr>
      <w:rFonts w:ascii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rsid w:val="00A50700"/>
    <w:rPr>
      <w:vertAlign w:val="superscript"/>
    </w:rPr>
  </w:style>
  <w:style w:type="table" w:styleId="Lentelstinklelis">
    <w:name w:val="Table Grid"/>
    <w:basedOn w:val="prastojilentel"/>
    <w:uiPriority w:val="99"/>
    <w:rsid w:val="00A50700"/>
    <w:rPr>
      <w:rFonts w:ascii="Times New Roman" w:eastAsia="Times New Roman" w:hAnsi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4333D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4333D7"/>
    <w:rPr>
      <w:rFonts w:ascii="Tahoma" w:hAnsi="Tahoma" w:cs="Tahoma"/>
      <w:sz w:val="16"/>
      <w:szCs w:val="16"/>
      <w:lang w:val="lt-LT"/>
    </w:rPr>
  </w:style>
  <w:style w:type="paragraph" w:customStyle="1" w:styleId="CharCharDiagramaDiagramaCharCharDiagramaDiagramaCharCharCharChar">
    <w:name w:val="Char Char Diagrama Diagrama Char Char Diagrama Diagrama Char Char Char Char"/>
    <w:basedOn w:val="prastasis"/>
    <w:uiPriority w:val="99"/>
    <w:semiHidden/>
    <w:rsid w:val="00F02892"/>
    <w:pPr>
      <w:spacing w:after="160" w:line="240" w:lineRule="exact"/>
    </w:pPr>
    <w:rPr>
      <w:rFonts w:ascii="Verdana" w:eastAsia="Calibri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1668</Words>
  <Characters>952</Characters>
  <Application>Microsoft Office Word</Application>
  <DocSecurity>0</DocSecurity>
  <Lines>7</Lines>
  <Paragraphs>5</Paragraphs>
  <ScaleCrop>false</ScaleCrop>
  <Company>Savivaldybe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vietinės rinkliavos už komunalinių atliekų surinkimą iš atliekų turėtojų ir atliekų tvarkymą nuostatų</dc:title>
  <dc:subject/>
  <dc:creator>Karolis</dc:creator>
  <cp:keywords/>
  <dc:description/>
  <cp:lastModifiedBy>Jovita Šumskienė</cp:lastModifiedBy>
  <cp:revision>4</cp:revision>
  <cp:lastPrinted>2017-01-05T08:37:00Z</cp:lastPrinted>
  <dcterms:created xsi:type="dcterms:W3CDTF">2017-01-19T13:59:00Z</dcterms:created>
  <dcterms:modified xsi:type="dcterms:W3CDTF">2017-01-24T06:08:00Z</dcterms:modified>
</cp:coreProperties>
</file>