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C8" w:rsidRDefault="004745C8" w:rsidP="00D56554">
      <w:pPr>
        <w:ind w:firstLine="737"/>
        <w:jc w:val="right"/>
        <w:rPr>
          <w:b/>
        </w:rPr>
      </w:pPr>
      <w:bookmarkStart w:id="0" w:name="_GoBack"/>
      <w:bookmarkEnd w:id="0"/>
    </w:p>
    <w:p w:rsidR="004745C8" w:rsidRDefault="00BC694E" w:rsidP="00D56554">
      <w:pPr>
        <w:ind w:firstLine="737"/>
        <w:jc w:val="center"/>
        <w:rPr>
          <w:b/>
        </w:rPr>
      </w:pPr>
      <w:r>
        <w:rPr>
          <w:noProof/>
        </w:rPr>
        <w:drawing>
          <wp:anchor distT="0" distB="180340" distL="114300" distR="114300" simplePos="0" relativeHeight="251657728" behindDoc="1" locked="0" layoutInCell="1" allowOverlap="1">
            <wp:simplePos x="0" y="0"/>
            <wp:positionH relativeFrom="column">
              <wp:posOffset>2743200</wp:posOffset>
            </wp:positionH>
            <wp:positionV relativeFrom="paragraph">
              <wp:posOffset>4445</wp:posOffset>
            </wp:positionV>
            <wp:extent cx="552450" cy="676275"/>
            <wp:effectExtent l="0" t="0" r="0" b="9525"/>
            <wp:wrapTopAndBottom/>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p>
    <w:p w:rsidR="004745C8" w:rsidRDefault="004745C8" w:rsidP="00C1764D">
      <w:pPr>
        <w:jc w:val="center"/>
        <w:rPr>
          <w:b/>
          <w:sz w:val="28"/>
          <w:szCs w:val="28"/>
        </w:rPr>
      </w:pPr>
      <w:r w:rsidRPr="008D2890">
        <w:rPr>
          <w:b/>
          <w:sz w:val="28"/>
          <w:szCs w:val="28"/>
        </w:rPr>
        <w:t>PLUNGĖS RAJONO SAVIVALDYBĖS</w:t>
      </w:r>
    </w:p>
    <w:p w:rsidR="004745C8" w:rsidRPr="008D2890" w:rsidRDefault="004745C8" w:rsidP="00C1764D">
      <w:pPr>
        <w:jc w:val="center"/>
        <w:rPr>
          <w:b/>
          <w:sz w:val="28"/>
          <w:szCs w:val="28"/>
        </w:rPr>
      </w:pPr>
      <w:r w:rsidRPr="008D2890">
        <w:rPr>
          <w:b/>
          <w:sz w:val="28"/>
          <w:szCs w:val="28"/>
        </w:rPr>
        <w:t>TARYBA</w:t>
      </w:r>
    </w:p>
    <w:p w:rsidR="004745C8" w:rsidRPr="008D2890" w:rsidRDefault="004745C8" w:rsidP="00C1764D">
      <w:pPr>
        <w:jc w:val="center"/>
        <w:rPr>
          <w:b/>
          <w:sz w:val="28"/>
          <w:szCs w:val="28"/>
        </w:rPr>
      </w:pPr>
    </w:p>
    <w:p w:rsidR="004745C8" w:rsidRPr="008D2890" w:rsidRDefault="004745C8" w:rsidP="00C1764D">
      <w:pPr>
        <w:jc w:val="center"/>
        <w:rPr>
          <w:b/>
          <w:sz w:val="28"/>
          <w:szCs w:val="28"/>
        </w:rPr>
      </w:pPr>
      <w:r w:rsidRPr="008D2890">
        <w:rPr>
          <w:b/>
          <w:sz w:val="28"/>
          <w:szCs w:val="28"/>
        </w:rPr>
        <w:t>SPRENDIMAS</w:t>
      </w:r>
    </w:p>
    <w:p w:rsidR="004745C8" w:rsidRDefault="004745C8" w:rsidP="00C1764D">
      <w:pPr>
        <w:jc w:val="center"/>
        <w:rPr>
          <w:b/>
          <w:caps/>
          <w:sz w:val="28"/>
          <w:szCs w:val="28"/>
        </w:rPr>
      </w:pPr>
      <w:r w:rsidRPr="008D2890">
        <w:rPr>
          <w:b/>
          <w:caps/>
          <w:sz w:val="28"/>
          <w:szCs w:val="28"/>
        </w:rPr>
        <w:t xml:space="preserve">DĖL PLUNGĖS RAJONO SAVIVALDYBĖS DAUGIABUČIŲ GYVENAMŲJŲ NAMŲ BENDROJO NAUDOJIMO OBJEKTŲ MAKSIMALAUS ADMINISTRAVIMO </w:t>
      </w:r>
      <w:r>
        <w:rPr>
          <w:b/>
          <w:caps/>
          <w:sz w:val="28"/>
          <w:szCs w:val="28"/>
        </w:rPr>
        <w:t xml:space="preserve">MOKESČIO </w:t>
      </w:r>
      <w:r w:rsidRPr="008D2890">
        <w:rPr>
          <w:b/>
          <w:caps/>
          <w:sz w:val="28"/>
          <w:szCs w:val="28"/>
        </w:rPr>
        <w:t>TARIFO APSKAIČIAVIMO TVARKOS APRAŠO PATVIRTINIMO</w:t>
      </w:r>
    </w:p>
    <w:p w:rsidR="004745C8" w:rsidRDefault="004745C8" w:rsidP="00D56554">
      <w:pPr>
        <w:jc w:val="center"/>
        <w:rPr>
          <w:b/>
          <w:caps/>
        </w:rPr>
      </w:pPr>
    </w:p>
    <w:p w:rsidR="004745C8" w:rsidRDefault="004745C8" w:rsidP="00D56554">
      <w:pPr>
        <w:jc w:val="center"/>
      </w:pPr>
      <w:r>
        <w:t>2015 m. rugsėjo 24 d. Nr. T1-261</w:t>
      </w:r>
    </w:p>
    <w:p w:rsidR="004745C8" w:rsidRDefault="004745C8" w:rsidP="00D56554">
      <w:pPr>
        <w:jc w:val="center"/>
        <w:rPr>
          <w:b/>
        </w:rPr>
      </w:pPr>
      <w:r>
        <w:t>Plungė</w:t>
      </w:r>
    </w:p>
    <w:p w:rsidR="004745C8" w:rsidRDefault="004745C8" w:rsidP="002E25C0">
      <w:pPr>
        <w:ind w:firstLine="737"/>
      </w:pPr>
    </w:p>
    <w:p w:rsidR="004745C8" w:rsidRDefault="004745C8" w:rsidP="004168AE">
      <w:pPr>
        <w:ind w:firstLine="720"/>
        <w:jc w:val="both"/>
      </w:pPr>
      <w:r>
        <w:t xml:space="preserve">Vadovaudamasi Lietuvos Respublikos civilinio kodekso 4.84 straipsnio 9 dalimi, Lietuvos Respublikos vietos savivaldos įstatymo 16 straipsnio 2 dalies 37 punktu, Lietuvos Respublikos Vyriausybės 2013 m. birželio 20 d. nutarimu Nr. 567 „Dėl Bendrojo naudojimo objektų administratoriaus atrankos ir skyrimo tvarkos aprašo patvirtinimo“, Plungės rajono savivaldybės  taryba </w:t>
      </w:r>
      <w:r w:rsidRPr="00DE2EB2">
        <w:rPr>
          <w:spacing w:val="40"/>
        </w:rPr>
        <w:t>nusprendžia</w:t>
      </w:r>
      <w:r>
        <w:t>:</w:t>
      </w:r>
    </w:p>
    <w:p w:rsidR="004745C8" w:rsidRDefault="004745C8" w:rsidP="004168AE">
      <w:pPr>
        <w:ind w:firstLine="720"/>
        <w:jc w:val="both"/>
      </w:pPr>
      <w:r>
        <w:t>1. Patvirtinti Plungės rajono savivaldybės daugiabučių gyvenamųjų namų bendrojo naudojimo objektų maksimalaus administravimo mokesčio tarifo apskaičiavimo tvarkos aprašą (pridedamas).</w:t>
      </w:r>
    </w:p>
    <w:p w:rsidR="004745C8" w:rsidRDefault="004745C8" w:rsidP="004168AE">
      <w:pPr>
        <w:ind w:firstLine="720"/>
        <w:jc w:val="both"/>
      </w:pPr>
      <w:r>
        <w:t>2.  Nustatyti, kad asmens, pretenduojančio teikti administravimo paslaugas, siūlomas administravimo tarifas ar administratoriaus apskaičiuotas konkretaus namo bendrojo naudojimo objektų administravimo mokesčio tarifas negali viršyti pagal šio sprendimo 1 punktu patvirtinto  Aprašo nustatytą tvarką apskaičiuoto namo maksimalaus administravimo mokesčio tarifo – 0,061 Eur per mėnesį už 1 m² naudingo ploto.</w:t>
      </w:r>
    </w:p>
    <w:p w:rsidR="004745C8" w:rsidRDefault="004745C8" w:rsidP="004168AE">
      <w:pPr>
        <w:ind w:firstLine="720"/>
        <w:jc w:val="both"/>
      </w:pPr>
      <w:r>
        <w:t>Šis sprendimas gali būti skundžiamas Lietuvos Respublikos administracinių bylų teisenos įstatymo nustatyta tvarka.</w:t>
      </w:r>
    </w:p>
    <w:p w:rsidR="004745C8" w:rsidRDefault="004745C8" w:rsidP="008A2424">
      <w:pPr>
        <w:tabs>
          <w:tab w:val="num" w:pos="-3261"/>
        </w:tabs>
        <w:ind w:left="-5965"/>
        <w:jc w:val="both"/>
      </w:pPr>
    </w:p>
    <w:p w:rsidR="004745C8" w:rsidRDefault="004745C8" w:rsidP="00594FDA">
      <w:pPr>
        <w:jc w:val="both"/>
      </w:pPr>
    </w:p>
    <w:p w:rsidR="004745C8" w:rsidRDefault="004745C8" w:rsidP="00395865">
      <w:pPr>
        <w:jc w:val="both"/>
      </w:pPr>
      <w:r>
        <w:t>Savivaldybės meras</w:t>
      </w:r>
      <w:r>
        <w:tab/>
      </w:r>
      <w:r>
        <w:tab/>
      </w:r>
      <w:r>
        <w:tab/>
        <w:t xml:space="preserve">          </w:t>
      </w:r>
      <w:r>
        <w:tab/>
      </w:r>
      <w:r>
        <w:tab/>
        <w:t>Audrius Klišonis</w:t>
      </w:r>
    </w:p>
    <w:p w:rsidR="004745C8" w:rsidRDefault="004745C8" w:rsidP="00594FDA">
      <w:pPr>
        <w:ind w:firstLine="737"/>
        <w:jc w:val="both"/>
      </w:pPr>
    </w:p>
    <w:p w:rsidR="004745C8" w:rsidRDefault="004745C8" w:rsidP="00594FDA">
      <w:pPr>
        <w:ind w:firstLine="737"/>
        <w:jc w:val="both"/>
      </w:pPr>
    </w:p>
    <w:p w:rsidR="004745C8" w:rsidRDefault="004745C8" w:rsidP="00594FDA">
      <w:pPr>
        <w:jc w:val="both"/>
      </w:pPr>
      <w:r>
        <w:br w:type="page"/>
      </w:r>
    </w:p>
    <w:p w:rsidR="004745C8" w:rsidRDefault="004745C8" w:rsidP="0063447B">
      <w:pPr>
        <w:suppressAutoHyphens/>
      </w:pPr>
      <w:r>
        <w:t xml:space="preserve">                                                                                   PATVIRTINTA</w:t>
      </w:r>
    </w:p>
    <w:p w:rsidR="004745C8" w:rsidRDefault="004745C8" w:rsidP="0063447B">
      <w:pPr>
        <w:suppressAutoHyphens/>
      </w:pPr>
      <w:r>
        <w:t xml:space="preserve">                                                                                   Plungės rajono savivaldybės </w:t>
      </w:r>
    </w:p>
    <w:p w:rsidR="004745C8" w:rsidRDefault="004745C8" w:rsidP="0063447B">
      <w:pPr>
        <w:suppressAutoHyphens/>
      </w:pPr>
      <w:r>
        <w:tab/>
      </w:r>
      <w:r>
        <w:tab/>
        <w:t xml:space="preserve">  </w:t>
      </w:r>
      <w:r>
        <w:tab/>
        <w:t xml:space="preserve">                  tarybos 2015 m. rugsėjo 24 d.</w:t>
      </w:r>
    </w:p>
    <w:p w:rsidR="004745C8" w:rsidRDefault="004745C8" w:rsidP="0063447B">
      <w:pPr>
        <w:suppressAutoHyphens/>
      </w:pPr>
      <w:r>
        <w:t xml:space="preserve">                                                                                   sprendimu Nr. T1-261</w:t>
      </w:r>
    </w:p>
    <w:p w:rsidR="004745C8" w:rsidRDefault="004745C8" w:rsidP="0063447B"/>
    <w:p w:rsidR="004745C8" w:rsidRDefault="004745C8" w:rsidP="0063447B">
      <w:pPr>
        <w:suppressAutoHyphens/>
      </w:pPr>
    </w:p>
    <w:p w:rsidR="004745C8" w:rsidRDefault="004745C8" w:rsidP="0063447B">
      <w:pPr>
        <w:suppressAutoHyphens/>
        <w:jc w:val="center"/>
        <w:rPr>
          <w:b/>
        </w:rPr>
      </w:pPr>
      <w:r>
        <w:rPr>
          <w:b/>
        </w:rPr>
        <w:t xml:space="preserve">PLUNGĖS RAJONO SAVIVALDYBĖS DAUGIABUČIŲ GYVENAMŲJŲ NAMŲ BENDROJO NAUDOJIMO OBJEKTŲ </w:t>
      </w:r>
      <w:r w:rsidRPr="00F81EDE">
        <w:rPr>
          <w:b/>
        </w:rPr>
        <w:t xml:space="preserve">MAKSIMALAUS </w:t>
      </w:r>
      <w:r>
        <w:rPr>
          <w:b/>
        </w:rPr>
        <w:t>ADMINISTRAVIMO MOKESČIO TARIFO APSKAIČIAVIMO TVARKOS APRAŠAS</w:t>
      </w:r>
    </w:p>
    <w:p w:rsidR="004745C8" w:rsidRDefault="004745C8" w:rsidP="0063447B">
      <w:pPr>
        <w:suppressAutoHyphens/>
        <w:jc w:val="center"/>
        <w:rPr>
          <w:b/>
        </w:rPr>
      </w:pPr>
    </w:p>
    <w:p w:rsidR="004745C8" w:rsidRDefault="004745C8" w:rsidP="0063447B">
      <w:pPr>
        <w:suppressAutoHyphens/>
        <w:jc w:val="center"/>
        <w:rPr>
          <w:b/>
        </w:rPr>
      </w:pPr>
      <w:r>
        <w:rPr>
          <w:b/>
        </w:rPr>
        <w:t>I. SKYRIUS</w:t>
      </w:r>
    </w:p>
    <w:p w:rsidR="004745C8" w:rsidRDefault="004745C8" w:rsidP="0063447B">
      <w:pPr>
        <w:suppressAutoHyphens/>
        <w:jc w:val="center"/>
        <w:rPr>
          <w:b/>
        </w:rPr>
      </w:pPr>
      <w:r>
        <w:rPr>
          <w:b/>
        </w:rPr>
        <w:t>BENDROSIOS NUOSTATOS</w:t>
      </w:r>
    </w:p>
    <w:p w:rsidR="004745C8" w:rsidRDefault="004745C8" w:rsidP="0063447B">
      <w:pPr>
        <w:suppressAutoHyphens/>
        <w:rPr>
          <w:b/>
        </w:rPr>
      </w:pPr>
    </w:p>
    <w:p w:rsidR="004745C8" w:rsidRDefault="004745C8" w:rsidP="00646435">
      <w:pPr>
        <w:tabs>
          <w:tab w:val="left" w:pos="540"/>
        </w:tabs>
        <w:suppressAutoHyphens/>
        <w:ind w:firstLine="720"/>
        <w:jc w:val="both"/>
      </w:pPr>
      <w:r>
        <w:t>1. Maksimalaus bendrojo naudojimo objektų administravimo paslaugų tarifo apskaičiavimo tvarkos aprašas (toliau-Aprašas) nustato daugiabučių gyvenamųjų namų maksimalaus bendrojo naudojimo objektų administravimo paslaugų tarifo apskaičiavimo tvarką.</w:t>
      </w:r>
    </w:p>
    <w:p w:rsidR="004745C8" w:rsidRDefault="004745C8" w:rsidP="00646435">
      <w:pPr>
        <w:tabs>
          <w:tab w:val="left" w:pos="540"/>
        </w:tabs>
        <w:suppressAutoHyphens/>
        <w:ind w:firstLine="720"/>
        <w:jc w:val="both"/>
      </w:pPr>
      <w:r>
        <w:t xml:space="preserve">2. </w:t>
      </w:r>
      <w:r w:rsidRPr="003E6035">
        <w:t xml:space="preserve">Aprašu privalo vadovautis asmenys, pretenduojantys teikti </w:t>
      </w:r>
      <w:r>
        <w:t>Plungės rajono</w:t>
      </w:r>
      <w:r w:rsidRPr="003E6035">
        <w:t xml:space="preserve"> savivaldybės daugiabučių namų bendrojo naudojimo objektų administravimo paslaugas, ir </w:t>
      </w:r>
      <w:r>
        <w:t>Plungės rajono</w:t>
      </w:r>
      <w:r w:rsidRPr="003E6035">
        <w:t xml:space="preserve"> savivaldybės administracijos direktoriaus įsakymu paskirti bendrojo naudojimo objektų administratori</w:t>
      </w:r>
      <w:r>
        <w:t>ai</w:t>
      </w:r>
      <w:r w:rsidRPr="003E6035">
        <w:t xml:space="preserve"> (toliau – </w:t>
      </w:r>
      <w:r>
        <w:t>A</w:t>
      </w:r>
      <w:r w:rsidRPr="003E6035">
        <w:t>dministratoriai).</w:t>
      </w:r>
    </w:p>
    <w:p w:rsidR="004745C8" w:rsidRDefault="004745C8" w:rsidP="00646435">
      <w:pPr>
        <w:tabs>
          <w:tab w:val="left" w:pos="540"/>
        </w:tabs>
        <w:suppressAutoHyphens/>
        <w:ind w:firstLine="720"/>
        <w:jc w:val="both"/>
      </w:pPr>
      <w:r>
        <w:t xml:space="preserve">3. </w:t>
      </w:r>
      <w:r w:rsidRPr="003E6075">
        <w:t>Apraše vartojamos sąvokos suprantamos taip, kaip jos apibrėžtos Lietuvos Respublikos civilini</w:t>
      </w:r>
      <w:r>
        <w:t>ame</w:t>
      </w:r>
      <w:r w:rsidRPr="003E6075">
        <w:t xml:space="preserve"> kodekse, Lietuvos Respublikos daugiabučių gyvenamųjų namų ir kitos paskirties pastatų savininkų bendrijų įstatyme</w:t>
      </w:r>
      <w:r>
        <w:t>,</w:t>
      </w:r>
      <w:r w:rsidRPr="003E6075">
        <w:t xml:space="preserve"> Lietuvo</w:t>
      </w:r>
      <w:r>
        <w:t>s Respublikos statybos įstatyme, kitais Lietuvos Respublikos tesės aktų nustatytais privalomaisiais gyvenamųjų namų naudojimo ir priežiūros reikalavimais.</w:t>
      </w:r>
    </w:p>
    <w:p w:rsidR="004745C8" w:rsidRDefault="004745C8" w:rsidP="0063447B">
      <w:pPr>
        <w:tabs>
          <w:tab w:val="left" w:pos="540"/>
        </w:tabs>
        <w:suppressAutoHyphens/>
        <w:jc w:val="both"/>
      </w:pPr>
    </w:p>
    <w:p w:rsidR="004745C8" w:rsidRDefault="004745C8" w:rsidP="0063447B">
      <w:pPr>
        <w:tabs>
          <w:tab w:val="left" w:pos="540"/>
        </w:tabs>
        <w:suppressAutoHyphens/>
        <w:jc w:val="center"/>
        <w:rPr>
          <w:b/>
        </w:rPr>
      </w:pPr>
      <w:r>
        <w:rPr>
          <w:b/>
        </w:rPr>
        <w:t>II. SKYRIUS</w:t>
      </w:r>
    </w:p>
    <w:p w:rsidR="004745C8" w:rsidRDefault="004745C8" w:rsidP="0063447B">
      <w:pPr>
        <w:tabs>
          <w:tab w:val="left" w:pos="540"/>
        </w:tabs>
        <w:suppressAutoHyphens/>
        <w:jc w:val="center"/>
        <w:rPr>
          <w:b/>
        </w:rPr>
      </w:pPr>
      <w:r>
        <w:rPr>
          <w:b/>
        </w:rPr>
        <w:t>PAGRINDINĖS SĄVOKOS</w:t>
      </w:r>
    </w:p>
    <w:p w:rsidR="004745C8" w:rsidRDefault="004745C8" w:rsidP="0063447B">
      <w:pPr>
        <w:tabs>
          <w:tab w:val="left" w:pos="540"/>
        </w:tabs>
        <w:suppressAutoHyphens/>
        <w:rPr>
          <w:b/>
        </w:rPr>
      </w:pPr>
    </w:p>
    <w:p w:rsidR="004745C8" w:rsidRDefault="004745C8" w:rsidP="00646435">
      <w:pPr>
        <w:tabs>
          <w:tab w:val="left" w:pos="540"/>
        </w:tabs>
        <w:suppressAutoHyphens/>
        <w:ind w:firstLine="720"/>
        <w:jc w:val="both"/>
      </w:pPr>
      <w:r>
        <w:t>4. Apraše vartojamos sąvokos:</w:t>
      </w:r>
    </w:p>
    <w:p w:rsidR="004745C8" w:rsidRDefault="004745C8" w:rsidP="00646435">
      <w:pPr>
        <w:tabs>
          <w:tab w:val="left" w:pos="540"/>
        </w:tabs>
        <w:suppressAutoHyphens/>
        <w:ind w:firstLine="720"/>
        <w:jc w:val="both"/>
      </w:pPr>
      <w:r w:rsidRPr="00CA1B24">
        <w:rPr>
          <w:b/>
        </w:rPr>
        <w:t>Bendrojo naudojimo objektų administravimas</w:t>
      </w:r>
      <w:r>
        <w:t xml:space="preserve"> – butų ir kitų patalpų savininkų bendrosios dalinės nuosavybės administravimas, kai administratorius atlieka visus veiksmus, būtinus daugiabučio namo bendrojo naudojimo objektams išsaugoti.</w:t>
      </w:r>
    </w:p>
    <w:p w:rsidR="004745C8" w:rsidRDefault="004745C8" w:rsidP="00646435">
      <w:pPr>
        <w:tabs>
          <w:tab w:val="left" w:pos="540"/>
        </w:tabs>
        <w:suppressAutoHyphens/>
        <w:ind w:firstLine="720"/>
        <w:jc w:val="both"/>
      </w:pPr>
      <w:r w:rsidRPr="00CA1B24">
        <w:rPr>
          <w:b/>
        </w:rPr>
        <w:t>Administratorius</w:t>
      </w:r>
      <w:r>
        <w:t xml:space="preserve"> – asmuo, prižiūrintis daugiabučio gyvenamo namo bendro naudojimo objektus įstatymų nustatyta tvarka.</w:t>
      </w:r>
    </w:p>
    <w:p w:rsidR="004745C8" w:rsidRDefault="004745C8" w:rsidP="00646435">
      <w:pPr>
        <w:tabs>
          <w:tab w:val="left" w:pos="540"/>
        </w:tabs>
        <w:suppressAutoHyphens/>
        <w:ind w:firstLine="720"/>
        <w:jc w:val="both"/>
      </w:pPr>
      <w:r w:rsidRPr="008E5BEA">
        <w:rPr>
          <w:b/>
        </w:rPr>
        <w:t>Maksimalus administravimo mokesčio tarifas</w:t>
      </w:r>
      <w:r>
        <w:rPr>
          <w:b/>
        </w:rPr>
        <w:t xml:space="preserve"> – </w:t>
      </w:r>
      <w:r w:rsidRPr="008E5BEA">
        <w:t>p</w:t>
      </w:r>
      <w:r>
        <w:t>agal šiame Apraše nustatytą tvarką apskaičiuojamas  bendrojo naudojimo objektų maksimalaus administravimo mėnesinio mokesčio tarifo dydis be PVM už 1m² naudingojo ploto.</w:t>
      </w:r>
    </w:p>
    <w:p w:rsidR="004745C8" w:rsidRDefault="004745C8" w:rsidP="0063447B">
      <w:pPr>
        <w:tabs>
          <w:tab w:val="left" w:pos="540"/>
        </w:tabs>
        <w:suppressAutoHyphens/>
        <w:ind w:firstLine="540"/>
        <w:jc w:val="both"/>
      </w:pPr>
      <w:r>
        <w:t xml:space="preserve">   </w:t>
      </w:r>
    </w:p>
    <w:p w:rsidR="004745C8" w:rsidRDefault="004745C8" w:rsidP="0063447B">
      <w:pPr>
        <w:tabs>
          <w:tab w:val="left" w:pos="540"/>
        </w:tabs>
        <w:suppressAutoHyphens/>
        <w:jc w:val="center"/>
        <w:rPr>
          <w:b/>
        </w:rPr>
      </w:pPr>
      <w:r w:rsidRPr="004022D5">
        <w:rPr>
          <w:b/>
        </w:rPr>
        <w:t xml:space="preserve">III. </w:t>
      </w:r>
      <w:r>
        <w:rPr>
          <w:b/>
        </w:rPr>
        <w:t>SKYRIUS</w:t>
      </w:r>
    </w:p>
    <w:p w:rsidR="004745C8" w:rsidRPr="004022D5" w:rsidRDefault="004745C8" w:rsidP="0063447B">
      <w:pPr>
        <w:tabs>
          <w:tab w:val="left" w:pos="540"/>
        </w:tabs>
        <w:suppressAutoHyphens/>
        <w:jc w:val="center"/>
        <w:rPr>
          <w:b/>
        </w:rPr>
      </w:pPr>
      <w:r w:rsidRPr="004022D5">
        <w:rPr>
          <w:b/>
        </w:rPr>
        <w:t>DAUGIABUČIŲ GYVENAMŲJŲ NAMŲ MAKSIMALAUS BENDROJO NAUDOJIMO OBJEKTŲ ADMINISTRAVIMO PASLAUGŲ TARIFO APSKAIČIAVIM</w:t>
      </w:r>
      <w:r>
        <w:rPr>
          <w:b/>
        </w:rPr>
        <w:t>AS</w:t>
      </w:r>
    </w:p>
    <w:p w:rsidR="004745C8" w:rsidRDefault="004745C8" w:rsidP="0063447B">
      <w:pPr>
        <w:tabs>
          <w:tab w:val="left" w:pos="540"/>
        </w:tabs>
        <w:suppressAutoHyphens/>
        <w:ind w:firstLine="540"/>
        <w:jc w:val="both"/>
      </w:pPr>
      <w:r>
        <w:t xml:space="preserve"> </w:t>
      </w:r>
    </w:p>
    <w:p w:rsidR="004745C8" w:rsidRDefault="004745C8" w:rsidP="00646435">
      <w:pPr>
        <w:tabs>
          <w:tab w:val="left" w:pos="540"/>
        </w:tabs>
        <w:suppressAutoHyphens/>
        <w:ind w:firstLine="720"/>
        <w:jc w:val="both"/>
      </w:pPr>
      <w:r>
        <w:t>5. Daugiabučių gyvenamųjų namų bendrojo naudojimo objektų metinės administravimo išlaidos apskaičiuojamos pagal formulę:</w:t>
      </w:r>
    </w:p>
    <w:p w:rsidR="004745C8" w:rsidRDefault="004745C8" w:rsidP="00646435">
      <w:pPr>
        <w:tabs>
          <w:tab w:val="left" w:pos="540"/>
        </w:tabs>
        <w:suppressAutoHyphens/>
        <w:ind w:firstLine="720"/>
        <w:jc w:val="both"/>
      </w:pPr>
      <w:r>
        <w:t>Ia = Ian + Iap + Iak, kur:</w:t>
      </w:r>
    </w:p>
    <w:p w:rsidR="004745C8" w:rsidRDefault="004745C8" w:rsidP="00646435">
      <w:pPr>
        <w:tabs>
          <w:tab w:val="left" w:pos="540"/>
        </w:tabs>
        <w:suppressAutoHyphens/>
        <w:ind w:firstLine="720"/>
        <w:jc w:val="both"/>
      </w:pPr>
      <w:r>
        <w:t>Ia – administravimo išlaidos per metus (Eur);</w:t>
      </w:r>
    </w:p>
    <w:p w:rsidR="004745C8" w:rsidRDefault="004745C8" w:rsidP="00646435">
      <w:pPr>
        <w:tabs>
          <w:tab w:val="left" w:pos="540"/>
        </w:tabs>
        <w:suppressAutoHyphens/>
        <w:ind w:firstLine="720"/>
        <w:jc w:val="both"/>
      </w:pPr>
      <w:r>
        <w:t>Ian – administravimo išlaidos nuolatiniams darbams per metus (Eur be PVM);</w:t>
      </w:r>
    </w:p>
    <w:p w:rsidR="004745C8" w:rsidRDefault="004745C8" w:rsidP="00646435">
      <w:pPr>
        <w:tabs>
          <w:tab w:val="left" w:pos="540"/>
        </w:tabs>
        <w:suppressAutoHyphens/>
        <w:ind w:firstLine="720"/>
        <w:jc w:val="both"/>
      </w:pPr>
      <w:r>
        <w:t>Iap – administravimo išlaidos papildomiems darbams per metus (Eur be PVM);</w:t>
      </w:r>
    </w:p>
    <w:p w:rsidR="004745C8" w:rsidRDefault="004745C8" w:rsidP="00646435">
      <w:pPr>
        <w:tabs>
          <w:tab w:val="left" w:pos="540"/>
        </w:tabs>
        <w:suppressAutoHyphens/>
        <w:ind w:firstLine="720"/>
        <w:jc w:val="both"/>
      </w:pPr>
      <w:r>
        <w:t>Iak – administravimo išlaidos nenumatytiems darbams per metus (Eur be PVM).</w:t>
      </w:r>
    </w:p>
    <w:p w:rsidR="004745C8" w:rsidRDefault="004745C8" w:rsidP="00646435">
      <w:pPr>
        <w:tabs>
          <w:tab w:val="left" w:pos="540"/>
        </w:tabs>
        <w:suppressAutoHyphens/>
        <w:ind w:firstLine="720"/>
        <w:jc w:val="both"/>
      </w:pPr>
      <w:r>
        <w:lastRenderedPageBreak/>
        <w:t>6. Daugiabučių gyvenamųjų namų bendrojo naudojimo objektų metinės administravimo išlaidos skaičiuojamos pagal lokalinių sąmatų, sudarytų gyvenamųjų namų administravimui pagrindu, ir yra (4 priedas):</w:t>
      </w:r>
    </w:p>
    <w:p w:rsidR="004745C8" w:rsidRDefault="004745C8" w:rsidP="00646435">
      <w:pPr>
        <w:tabs>
          <w:tab w:val="left" w:pos="540"/>
        </w:tabs>
        <w:suppressAutoHyphens/>
        <w:ind w:firstLine="720"/>
        <w:jc w:val="both"/>
      </w:pPr>
      <w:r>
        <w:t xml:space="preserve">6.1. Nuolatiniai darbai:                   </w:t>
      </w:r>
    </w:p>
    <w:p w:rsidR="004745C8" w:rsidRDefault="004745C8" w:rsidP="00646435">
      <w:pPr>
        <w:tabs>
          <w:tab w:val="left" w:pos="540"/>
        </w:tabs>
        <w:suppressAutoHyphens/>
        <w:ind w:firstLine="720"/>
        <w:jc w:val="both"/>
      </w:pPr>
      <w:r>
        <w:t>75 (žm./val./m.)×7,86 (val. įkainis) = 589,5 Eur;</w:t>
      </w:r>
    </w:p>
    <w:p w:rsidR="004745C8" w:rsidRDefault="004745C8" w:rsidP="00646435">
      <w:pPr>
        <w:tabs>
          <w:tab w:val="left" w:pos="540"/>
        </w:tabs>
        <w:suppressAutoHyphens/>
        <w:ind w:firstLine="720"/>
        <w:jc w:val="both"/>
      </w:pPr>
      <w:r>
        <w:t>„Sodra“ –                    589,5×31%=182,74 Eur;</w:t>
      </w:r>
    </w:p>
    <w:p w:rsidR="004745C8" w:rsidRDefault="004745C8" w:rsidP="00646435">
      <w:pPr>
        <w:tabs>
          <w:tab w:val="left" w:pos="540"/>
        </w:tabs>
        <w:suppressAutoHyphens/>
        <w:ind w:firstLine="720"/>
        <w:jc w:val="both"/>
      </w:pPr>
      <w:r>
        <w:t>Pridėtinės išlaidos –      589,5×40%=235,8 Eur;</w:t>
      </w:r>
    </w:p>
    <w:p w:rsidR="004745C8" w:rsidRDefault="004745C8" w:rsidP="00646435">
      <w:pPr>
        <w:tabs>
          <w:tab w:val="left" w:pos="540"/>
        </w:tabs>
        <w:suppressAutoHyphens/>
        <w:ind w:firstLine="720"/>
        <w:jc w:val="both"/>
      </w:pPr>
      <w:r w:rsidRPr="00D800FF">
        <w:t>Norminis pelnas –           589,5x5%=29,47 E</w:t>
      </w:r>
      <w:r>
        <w:t>ur;</w:t>
      </w:r>
    </w:p>
    <w:p w:rsidR="004745C8" w:rsidRDefault="004745C8" w:rsidP="00646435">
      <w:pPr>
        <w:tabs>
          <w:tab w:val="left" w:pos="540"/>
        </w:tabs>
        <w:suppressAutoHyphens/>
        <w:ind w:firstLine="720"/>
        <w:jc w:val="both"/>
      </w:pPr>
      <w:r w:rsidRPr="00D800FF">
        <w:t>Ian</w:t>
      </w:r>
      <w:r>
        <w:t xml:space="preserve"> –  1037,51</w:t>
      </w:r>
      <w:r w:rsidRPr="00D800FF">
        <w:t xml:space="preserve"> E</w:t>
      </w:r>
      <w:r>
        <w:t xml:space="preserve">ur. </w:t>
      </w:r>
    </w:p>
    <w:p w:rsidR="004745C8" w:rsidRDefault="004745C8" w:rsidP="00646435">
      <w:pPr>
        <w:tabs>
          <w:tab w:val="left" w:pos="540"/>
        </w:tabs>
        <w:suppressAutoHyphens/>
        <w:ind w:firstLine="720"/>
        <w:jc w:val="both"/>
      </w:pPr>
      <w:r>
        <w:t>6.2. Papildomi darbai:</w:t>
      </w:r>
    </w:p>
    <w:p w:rsidR="004745C8" w:rsidRDefault="004745C8" w:rsidP="00646435">
      <w:pPr>
        <w:tabs>
          <w:tab w:val="left" w:pos="540"/>
        </w:tabs>
        <w:suppressAutoHyphens/>
        <w:ind w:firstLine="720"/>
        <w:jc w:val="both"/>
      </w:pPr>
      <w:r>
        <w:t>8 (žm./val./m.)×7,86(val. įkainis) = 62,88 Eur;</w:t>
      </w:r>
    </w:p>
    <w:p w:rsidR="004745C8" w:rsidRDefault="004745C8" w:rsidP="00646435">
      <w:pPr>
        <w:tabs>
          <w:tab w:val="left" w:pos="540"/>
        </w:tabs>
        <w:suppressAutoHyphens/>
        <w:ind w:firstLine="720"/>
        <w:jc w:val="both"/>
      </w:pPr>
      <w:r>
        <w:t>„Sodra“ –                  62,88×31% = 19,49 Eur;</w:t>
      </w:r>
    </w:p>
    <w:p w:rsidR="004745C8" w:rsidRDefault="004745C8" w:rsidP="00646435">
      <w:pPr>
        <w:tabs>
          <w:tab w:val="left" w:pos="540"/>
        </w:tabs>
        <w:suppressAutoHyphens/>
        <w:ind w:firstLine="720"/>
        <w:jc w:val="both"/>
      </w:pPr>
      <w:r>
        <w:t>Pridėtinės išlaidos – 62,88×40% = 25,15 Eur;</w:t>
      </w:r>
    </w:p>
    <w:p w:rsidR="004745C8" w:rsidRDefault="004745C8" w:rsidP="00646435">
      <w:pPr>
        <w:tabs>
          <w:tab w:val="left" w:pos="540"/>
        </w:tabs>
        <w:suppressAutoHyphens/>
        <w:ind w:firstLine="720"/>
        <w:jc w:val="both"/>
      </w:pPr>
      <w:r>
        <w:t xml:space="preserve">Norminis pelnas –        62,88×5% = 3,14 Eur;                                                                                                                                                                                                                                                                                                                                                                                                                                                                                                                                                                                                                                                                                                                                                                                                                                                                                                                                                                                                                                                                                                                                                                  </w:t>
      </w:r>
    </w:p>
    <w:p w:rsidR="004745C8" w:rsidRDefault="004745C8" w:rsidP="00646435">
      <w:pPr>
        <w:tabs>
          <w:tab w:val="left" w:pos="540"/>
        </w:tabs>
        <w:suppressAutoHyphens/>
        <w:ind w:firstLine="720"/>
        <w:jc w:val="both"/>
      </w:pPr>
      <w:r>
        <w:t>Iap –   110,66  Eur.</w:t>
      </w:r>
    </w:p>
    <w:p w:rsidR="004745C8" w:rsidRDefault="004745C8" w:rsidP="00646435">
      <w:pPr>
        <w:tabs>
          <w:tab w:val="left" w:pos="540"/>
        </w:tabs>
        <w:suppressAutoHyphens/>
        <w:ind w:firstLine="720"/>
        <w:jc w:val="both"/>
      </w:pPr>
      <w:r>
        <w:t>6.3. Sąnaudos nenumatytiems darbams:</w:t>
      </w:r>
    </w:p>
    <w:p w:rsidR="004745C8" w:rsidRDefault="004745C8" w:rsidP="00646435">
      <w:pPr>
        <w:tabs>
          <w:tab w:val="left" w:pos="540"/>
        </w:tabs>
        <w:suppressAutoHyphens/>
        <w:ind w:firstLine="720"/>
        <w:jc w:val="both"/>
      </w:pPr>
      <w:r>
        <w:t>Iak = (Ian+Iap)×15% = (1037,51 Eur+110,66 Eur)×15% = 172,22 Eur;</w:t>
      </w:r>
    </w:p>
    <w:p w:rsidR="004745C8" w:rsidRDefault="004745C8" w:rsidP="00646435">
      <w:pPr>
        <w:tabs>
          <w:tab w:val="left" w:pos="540"/>
        </w:tabs>
        <w:suppressAutoHyphens/>
        <w:ind w:firstLine="720"/>
        <w:jc w:val="both"/>
      </w:pPr>
      <w:r>
        <w:t>Ia = 1320,39  Eur.</w:t>
      </w:r>
    </w:p>
    <w:p w:rsidR="004745C8" w:rsidRDefault="004745C8" w:rsidP="00646435">
      <w:pPr>
        <w:tabs>
          <w:tab w:val="left" w:pos="540"/>
        </w:tabs>
        <w:suppressAutoHyphens/>
        <w:ind w:firstLine="720"/>
        <w:jc w:val="both"/>
      </w:pPr>
      <w:r>
        <w:t>7. Administratoriaus atliekamų darbų sąraše prie nuolatinių veiklų priskiriamos veiklos, kurios pasikartoja kiekvienais metais tomis pačiomis apimtimis. Prie papildomų veiklų priskiriamos veiklos, kurios gali būti vykdomos ne kiekvienais metais, o rečiau arba atsiradus poreikiui.</w:t>
      </w:r>
    </w:p>
    <w:p w:rsidR="004745C8" w:rsidRDefault="004745C8" w:rsidP="00646435">
      <w:pPr>
        <w:tabs>
          <w:tab w:val="left" w:pos="540"/>
        </w:tabs>
        <w:suppressAutoHyphens/>
        <w:ind w:firstLine="720"/>
        <w:jc w:val="both"/>
      </w:pPr>
      <w:r>
        <w:t>8. Nenumatytų darbų (veiklų) kaina apskaičiuojama procentais nuo nuolatinėms ir papildomoms veikloms apskaičiuotų kainų sumos, bet ne daugiau kaip 15 procentų nuolatinėms ir papildomoms veikloms apskaičiuotų lėšų sumos.</w:t>
      </w:r>
    </w:p>
    <w:p w:rsidR="004745C8" w:rsidRDefault="004745C8" w:rsidP="00646435">
      <w:pPr>
        <w:tabs>
          <w:tab w:val="left" w:pos="540"/>
        </w:tabs>
        <w:suppressAutoHyphens/>
        <w:ind w:firstLine="720"/>
        <w:jc w:val="both"/>
      </w:pPr>
      <w:r>
        <w:t>9. Mėnesinis daugiabučių gyvenamųjų namų bendrojo naudojimo objektų administravimo tarifas apskaičiuojamas pagal formulę:</w:t>
      </w:r>
    </w:p>
    <w:p w:rsidR="004745C8" w:rsidRDefault="004745C8" w:rsidP="00646435">
      <w:pPr>
        <w:tabs>
          <w:tab w:val="left" w:pos="540"/>
        </w:tabs>
        <w:suppressAutoHyphens/>
        <w:ind w:firstLine="720"/>
        <w:jc w:val="both"/>
      </w:pPr>
      <w:r>
        <w:t xml:space="preserve">Tab = (Ia:(Sn×12))x K1 x K2 x K3; </w:t>
      </w:r>
    </w:p>
    <w:p w:rsidR="004745C8" w:rsidRDefault="004745C8" w:rsidP="00646435">
      <w:pPr>
        <w:tabs>
          <w:tab w:val="left" w:pos="540"/>
        </w:tabs>
        <w:suppressAutoHyphens/>
        <w:ind w:firstLine="720"/>
        <w:jc w:val="both"/>
      </w:pPr>
      <w:r>
        <w:t>Tab – administravimo tarifas Eur/m²/ mėn.;</w:t>
      </w:r>
    </w:p>
    <w:p w:rsidR="004745C8" w:rsidRDefault="004745C8" w:rsidP="00646435">
      <w:pPr>
        <w:tabs>
          <w:tab w:val="left" w:pos="540"/>
        </w:tabs>
        <w:suppressAutoHyphens/>
        <w:ind w:firstLine="720"/>
        <w:jc w:val="both"/>
      </w:pPr>
      <w:r>
        <w:t>Sn – statinio (pastato) bendras naudingas plotas (m²);</w:t>
      </w:r>
    </w:p>
    <w:p w:rsidR="004745C8" w:rsidRDefault="004745C8" w:rsidP="00646435">
      <w:pPr>
        <w:tabs>
          <w:tab w:val="left" w:pos="540"/>
        </w:tabs>
        <w:suppressAutoHyphens/>
        <w:ind w:firstLine="720"/>
        <w:jc w:val="both"/>
      </w:pPr>
      <w:r>
        <w:t xml:space="preserve">K1 – koeficientas, įvertinantis pastatų amžių nuo eksploatacijos pradžios; </w:t>
      </w:r>
    </w:p>
    <w:p w:rsidR="004745C8" w:rsidRDefault="004745C8" w:rsidP="00646435">
      <w:pPr>
        <w:tabs>
          <w:tab w:val="left" w:pos="540"/>
        </w:tabs>
        <w:suppressAutoHyphens/>
        <w:ind w:firstLine="720"/>
        <w:jc w:val="both"/>
      </w:pPr>
      <w:r>
        <w:t xml:space="preserve">K2 – koeficientas, įvertinantis </w:t>
      </w:r>
      <w:r w:rsidRPr="002A2460">
        <w:t xml:space="preserve">buitinių patogumų </w:t>
      </w:r>
      <w:r>
        <w:t>lygmenį;</w:t>
      </w:r>
      <w:r w:rsidRPr="002A2460">
        <w:t xml:space="preserve"> </w:t>
      </w:r>
    </w:p>
    <w:p w:rsidR="004745C8" w:rsidRDefault="004745C8" w:rsidP="00646435">
      <w:pPr>
        <w:tabs>
          <w:tab w:val="left" w:pos="540"/>
        </w:tabs>
        <w:suppressAutoHyphens/>
        <w:ind w:firstLine="720"/>
        <w:jc w:val="both"/>
      </w:pPr>
      <w:r>
        <w:t xml:space="preserve">K3 – koeficientas, įvertinantis </w:t>
      </w:r>
      <w:r w:rsidRPr="002A2460">
        <w:t>pastato bendrąjį plotą</w:t>
      </w:r>
      <w:r>
        <w:t>.</w:t>
      </w:r>
    </w:p>
    <w:p w:rsidR="004745C8" w:rsidRDefault="004745C8" w:rsidP="00646435">
      <w:pPr>
        <w:tabs>
          <w:tab w:val="left" w:pos="540"/>
        </w:tabs>
        <w:suppressAutoHyphens/>
        <w:ind w:firstLine="720"/>
        <w:jc w:val="both"/>
      </w:pPr>
      <w:r>
        <w:t>10.</w:t>
      </w:r>
      <w:r w:rsidRPr="00035D46">
        <w:t xml:space="preserve"> </w:t>
      </w:r>
      <w:r w:rsidRPr="002426B1">
        <w:t>Skaičiuojamasis namas</w:t>
      </w:r>
      <w:r>
        <w:t xml:space="preserve"> tai yra daugiabutis su centriniu šildymu namas, kurio bendrojo naudojimo objektų normuojamoms administravimo sąnaudoms nustatyti sudaryta sąmata pagal rekomenduojamų darbų sąrašą. Skaičiuojamojo namo techninės charakteristikos:</w:t>
      </w:r>
    </w:p>
    <w:p w:rsidR="004745C8" w:rsidRDefault="004745C8" w:rsidP="00646435">
      <w:pPr>
        <w:tabs>
          <w:tab w:val="left" w:pos="540"/>
        </w:tabs>
        <w:suppressAutoHyphens/>
        <w:ind w:firstLine="720"/>
        <w:jc w:val="both"/>
      </w:pPr>
      <w:r>
        <w:t>bendras plotas – 2001–3000 m²;</w:t>
      </w:r>
    </w:p>
    <w:p w:rsidR="004745C8" w:rsidRDefault="004745C8" w:rsidP="00646435">
      <w:pPr>
        <w:tabs>
          <w:tab w:val="left" w:pos="540"/>
        </w:tabs>
        <w:suppressAutoHyphens/>
        <w:ind w:firstLine="720"/>
        <w:jc w:val="both"/>
      </w:pPr>
      <w:r>
        <w:t>bendras naudingas plotas – 1800 m²;</w:t>
      </w:r>
    </w:p>
    <w:p w:rsidR="004745C8" w:rsidRDefault="004745C8" w:rsidP="00646435">
      <w:pPr>
        <w:tabs>
          <w:tab w:val="left" w:pos="540"/>
        </w:tabs>
        <w:suppressAutoHyphens/>
        <w:ind w:firstLine="720"/>
        <w:jc w:val="both"/>
      </w:pPr>
      <w:r>
        <w:t>pastato amžius – 20–35 metai;</w:t>
      </w:r>
    </w:p>
    <w:p w:rsidR="004745C8" w:rsidRDefault="004745C8" w:rsidP="00646435">
      <w:pPr>
        <w:tabs>
          <w:tab w:val="left" w:pos="540"/>
        </w:tabs>
        <w:suppressAutoHyphens/>
        <w:ind w:firstLine="720"/>
        <w:jc w:val="both"/>
      </w:pPr>
      <w:r>
        <w:t>Sn – 1800 m²;</w:t>
      </w:r>
    </w:p>
    <w:p w:rsidR="004745C8" w:rsidRDefault="004745C8" w:rsidP="00646435">
      <w:pPr>
        <w:tabs>
          <w:tab w:val="left" w:pos="540"/>
        </w:tabs>
        <w:suppressAutoHyphens/>
        <w:ind w:firstLine="720"/>
        <w:jc w:val="both"/>
      </w:pPr>
      <w:r>
        <w:t>K2; K3; K4 – 1,0.</w:t>
      </w:r>
    </w:p>
    <w:p w:rsidR="004745C8" w:rsidRDefault="004745C8" w:rsidP="00646435">
      <w:pPr>
        <w:tabs>
          <w:tab w:val="left" w:pos="540"/>
        </w:tabs>
        <w:suppressAutoHyphens/>
        <w:ind w:firstLine="720"/>
        <w:jc w:val="both"/>
      </w:pPr>
      <w:r>
        <w:t xml:space="preserve">11. Pagal 8 punkte nurodytą formulę: </w:t>
      </w:r>
    </w:p>
    <w:p w:rsidR="004745C8" w:rsidRDefault="004745C8" w:rsidP="00646435">
      <w:pPr>
        <w:tabs>
          <w:tab w:val="left" w:pos="540"/>
        </w:tabs>
        <w:suppressAutoHyphens/>
        <w:ind w:firstLine="720"/>
        <w:jc w:val="both"/>
      </w:pPr>
      <w:r>
        <w:t>Tab=(1320,39:(1800×12))</w:t>
      </w:r>
      <w:r w:rsidRPr="001452BD">
        <w:t xml:space="preserve"> x</w:t>
      </w:r>
      <w:r>
        <w:t>1,0</w:t>
      </w:r>
      <w:r w:rsidRPr="001452BD">
        <w:t xml:space="preserve"> x1,0 x1,0</w:t>
      </w:r>
      <w:r>
        <w:t>= 0,061Eur/m²/mėn.</w:t>
      </w:r>
    </w:p>
    <w:p w:rsidR="004745C8" w:rsidRPr="00725F6E" w:rsidRDefault="004745C8" w:rsidP="00646435">
      <w:pPr>
        <w:tabs>
          <w:tab w:val="left" w:pos="540"/>
        </w:tabs>
        <w:suppressAutoHyphens/>
        <w:ind w:firstLine="720"/>
        <w:jc w:val="both"/>
        <w:rPr>
          <w:color w:val="000000"/>
        </w:rPr>
      </w:pPr>
      <w:r>
        <w:t xml:space="preserve">12. Vadovaujantis ankstesniuose punktuose išdėstytomis UAB „Sistela“ rekomendacijomis „Dėl daugiabučių gyvenamųjų namų administravimo ir priežiūros mokesčio tarifų apskaičiavimo“, </w:t>
      </w:r>
      <w:r w:rsidRPr="00725F6E">
        <w:rPr>
          <w:color w:val="000000"/>
        </w:rPr>
        <w:t xml:space="preserve"> formulėmis bei priedais, priimam</w:t>
      </w:r>
      <w:r>
        <w:rPr>
          <w:color w:val="000000"/>
        </w:rPr>
        <w:t>as</w:t>
      </w:r>
      <w:r w:rsidRPr="00725F6E">
        <w:rPr>
          <w:color w:val="000000"/>
        </w:rPr>
        <w:t xml:space="preserve"> maksimal</w:t>
      </w:r>
      <w:r>
        <w:rPr>
          <w:color w:val="000000"/>
        </w:rPr>
        <w:t>us</w:t>
      </w:r>
      <w:r w:rsidRPr="00725F6E">
        <w:rPr>
          <w:color w:val="000000"/>
        </w:rPr>
        <w:t xml:space="preserve"> administravimo mokesčio tarif</w:t>
      </w:r>
      <w:r>
        <w:rPr>
          <w:color w:val="000000"/>
        </w:rPr>
        <w:t>as</w:t>
      </w:r>
      <w:r w:rsidRPr="00725F6E">
        <w:rPr>
          <w:color w:val="000000"/>
        </w:rPr>
        <w:t>, kuris yra 0,061 E</w:t>
      </w:r>
      <w:r>
        <w:rPr>
          <w:color w:val="000000"/>
        </w:rPr>
        <w:t>ur</w:t>
      </w:r>
      <w:r w:rsidRPr="00725F6E">
        <w:rPr>
          <w:color w:val="000000"/>
        </w:rPr>
        <w:t>/m²/mėn.</w:t>
      </w:r>
    </w:p>
    <w:p w:rsidR="004745C8" w:rsidRDefault="004745C8" w:rsidP="00646435">
      <w:pPr>
        <w:tabs>
          <w:tab w:val="left" w:pos="540"/>
        </w:tabs>
        <w:suppressAutoHyphens/>
        <w:ind w:firstLine="720"/>
        <w:jc w:val="both"/>
      </w:pPr>
      <w:r>
        <w:t>13. Konkretaus pastato</w:t>
      </w:r>
      <w:r w:rsidRPr="008B7502">
        <w:t xml:space="preserve"> bendrojo naudojimo objektų administravimo paslaugų tarif</w:t>
      </w:r>
      <w:r>
        <w:t>as</w:t>
      </w:r>
      <w:r w:rsidRPr="008B7502">
        <w:t xml:space="preserve"> apskaiči</w:t>
      </w:r>
      <w:r>
        <w:t>uojamas pagal formulę:</w:t>
      </w:r>
    </w:p>
    <w:p w:rsidR="004745C8" w:rsidRDefault="004745C8" w:rsidP="00646435">
      <w:pPr>
        <w:tabs>
          <w:tab w:val="left" w:pos="540"/>
        </w:tabs>
        <w:suppressAutoHyphens/>
        <w:ind w:firstLine="720"/>
        <w:jc w:val="both"/>
      </w:pPr>
      <w:r w:rsidRPr="00F877D5">
        <w:t>Tap = Tab x K1 x K2 x K3, kur:</w:t>
      </w:r>
    </w:p>
    <w:p w:rsidR="004745C8" w:rsidRDefault="004745C8" w:rsidP="00646435">
      <w:pPr>
        <w:tabs>
          <w:tab w:val="left" w:pos="540"/>
        </w:tabs>
        <w:suppressAutoHyphens/>
        <w:ind w:firstLine="720"/>
        <w:jc w:val="both"/>
      </w:pPr>
      <w:r w:rsidRPr="004C23D9">
        <w:t>Ta</w:t>
      </w:r>
      <w:r>
        <w:t>p</w:t>
      </w:r>
      <w:r w:rsidRPr="004C23D9">
        <w:t xml:space="preserve"> –</w:t>
      </w:r>
      <w:r>
        <w:t xml:space="preserve"> konkretaus pastato administravimo mokesčio tarifas Eur/m²/mėn.;</w:t>
      </w:r>
    </w:p>
    <w:p w:rsidR="004745C8" w:rsidRDefault="004745C8" w:rsidP="00646435">
      <w:pPr>
        <w:tabs>
          <w:tab w:val="left" w:pos="540"/>
        </w:tabs>
        <w:suppressAutoHyphens/>
        <w:ind w:firstLine="720"/>
        <w:jc w:val="both"/>
      </w:pPr>
      <w:r>
        <w:t>K1 – koeficientas, įvertinantis pastatų eksploatavimo laiką nuo eksploatacijos pradžios (1 priedas);</w:t>
      </w:r>
    </w:p>
    <w:p w:rsidR="004745C8" w:rsidRDefault="004745C8" w:rsidP="00646435">
      <w:pPr>
        <w:tabs>
          <w:tab w:val="left" w:pos="540"/>
        </w:tabs>
        <w:suppressAutoHyphens/>
        <w:ind w:firstLine="720"/>
        <w:jc w:val="both"/>
      </w:pPr>
      <w:r>
        <w:t>K2 – koeficientas, įvertinantis buitinių patogumų lygį (2 priedas);</w:t>
      </w:r>
    </w:p>
    <w:p w:rsidR="004745C8" w:rsidRDefault="004745C8" w:rsidP="00646435">
      <w:pPr>
        <w:tabs>
          <w:tab w:val="left" w:pos="540"/>
        </w:tabs>
        <w:suppressAutoHyphens/>
        <w:ind w:firstLine="720"/>
        <w:jc w:val="both"/>
      </w:pPr>
      <w:r>
        <w:lastRenderedPageBreak/>
        <w:t>K3 – koeficientas, įvertinantis pastato bendrąjį plotą (3 priedas).</w:t>
      </w:r>
    </w:p>
    <w:p w:rsidR="004745C8" w:rsidRDefault="004745C8" w:rsidP="0063447B">
      <w:pPr>
        <w:tabs>
          <w:tab w:val="left" w:pos="540"/>
        </w:tabs>
        <w:suppressAutoHyphens/>
        <w:jc w:val="both"/>
      </w:pPr>
    </w:p>
    <w:p w:rsidR="004745C8" w:rsidRDefault="004745C8" w:rsidP="0063447B">
      <w:pPr>
        <w:tabs>
          <w:tab w:val="left" w:pos="540"/>
        </w:tabs>
        <w:suppressAutoHyphens/>
        <w:ind w:firstLine="540"/>
        <w:jc w:val="center"/>
        <w:rPr>
          <w:b/>
        </w:rPr>
      </w:pPr>
      <w:r>
        <w:rPr>
          <w:b/>
        </w:rPr>
        <w:t>IV. SKYRIUS</w:t>
      </w:r>
    </w:p>
    <w:p w:rsidR="004745C8" w:rsidRPr="0096370B" w:rsidRDefault="004745C8" w:rsidP="0063447B">
      <w:pPr>
        <w:tabs>
          <w:tab w:val="left" w:pos="540"/>
        </w:tabs>
        <w:suppressAutoHyphens/>
        <w:ind w:firstLine="540"/>
        <w:jc w:val="center"/>
      </w:pPr>
      <w:r>
        <w:rPr>
          <w:b/>
        </w:rPr>
        <w:t>BAIGIAMOSIOS NUOSTATOS</w:t>
      </w:r>
    </w:p>
    <w:p w:rsidR="004745C8" w:rsidRDefault="004745C8" w:rsidP="0063447B">
      <w:pPr>
        <w:tabs>
          <w:tab w:val="left" w:pos="540"/>
        </w:tabs>
        <w:suppressAutoHyphens/>
        <w:jc w:val="center"/>
        <w:rPr>
          <w:b/>
        </w:rPr>
      </w:pPr>
    </w:p>
    <w:p w:rsidR="004745C8" w:rsidRDefault="004745C8" w:rsidP="00EA224B">
      <w:pPr>
        <w:tabs>
          <w:tab w:val="left" w:pos="540"/>
        </w:tabs>
        <w:suppressAutoHyphens/>
        <w:ind w:firstLine="720"/>
        <w:jc w:val="both"/>
      </w:pPr>
      <w:r>
        <w:t>14.</w:t>
      </w:r>
      <w:r w:rsidRPr="00180EB4">
        <w:t xml:space="preserve"> Asmenų, teikiančių ar pretenduojančių teikti butų ir kitų patalpų savininkų bendrosios nuosavybės administravimo paslaugas, siūlomas administravimo tarifas ar butų ir kitų patalpų savininkų bendrosios nuosavybės administratoriaus apskaičiuotas konkretaus namo bendrojo naudojimo objektų administravimo mokesčio tarifas negali viršyti pagal šiame </w:t>
      </w:r>
      <w:r>
        <w:t>A</w:t>
      </w:r>
      <w:r w:rsidRPr="00180EB4">
        <w:t>praše nustatytą tvarką apskaičiuoto namo maksimalaus administravimo mokesčio tarifo dydžio.</w:t>
      </w:r>
    </w:p>
    <w:p w:rsidR="004745C8" w:rsidRDefault="004745C8" w:rsidP="00EA224B">
      <w:pPr>
        <w:tabs>
          <w:tab w:val="left" w:pos="540"/>
        </w:tabs>
        <w:suppressAutoHyphens/>
        <w:ind w:firstLine="720"/>
        <w:jc w:val="both"/>
      </w:pPr>
      <w:r>
        <w:t>15. Klausimai, kurie neaptarti šiame Apraše, sprendžiami vadovaujantis Lietuvos Respublikos civiliniu kodeksu, įstatymais ir kitais norminiais teisės aktais.</w:t>
      </w:r>
    </w:p>
    <w:p w:rsidR="004745C8" w:rsidRDefault="004745C8" w:rsidP="00EA224B">
      <w:pPr>
        <w:ind w:firstLine="720"/>
        <w:jc w:val="both"/>
        <w:rPr>
          <w:b/>
        </w:rPr>
      </w:pPr>
      <w:r>
        <w:t xml:space="preserve">16. Maksimalaus bendrojo naudojimo objektų administravimo paslaugų tarifo apskaičiavimo tvarkos aprašas keičiamas Savivaldybės tarybos sprendimu. </w:t>
      </w:r>
    </w:p>
    <w:p w:rsidR="004745C8" w:rsidRDefault="004745C8" w:rsidP="0063447B">
      <w:pPr>
        <w:tabs>
          <w:tab w:val="left" w:pos="540"/>
        </w:tabs>
        <w:suppressAutoHyphens/>
        <w:ind w:firstLine="540"/>
        <w:jc w:val="both"/>
      </w:pPr>
      <w:r>
        <w:t xml:space="preserve"> </w:t>
      </w:r>
    </w:p>
    <w:p w:rsidR="004745C8" w:rsidRDefault="004745C8" w:rsidP="0063447B">
      <w:pPr>
        <w:suppressAutoHyphens/>
        <w:jc w:val="center"/>
        <w:rPr>
          <w:b/>
          <w:sz w:val="20"/>
        </w:rPr>
      </w:pPr>
      <w:r>
        <w:rPr>
          <w:b/>
          <w:sz w:val="20"/>
        </w:rPr>
        <w:t>__________________________________</w:t>
      </w:r>
    </w:p>
    <w:p w:rsidR="004745C8" w:rsidRDefault="004745C8" w:rsidP="0063447B"/>
    <w:p w:rsidR="004745C8" w:rsidRDefault="004745C8" w:rsidP="0063447B">
      <w:r>
        <w:t xml:space="preserve">                                                                            </w:t>
      </w:r>
    </w:p>
    <w:p w:rsidR="004745C8" w:rsidRDefault="004745C8" w:rsidP="0063447B">
      <w:r>
        <w:br w:type="page"/>
      </w:r>
      <w:r>
        <w:lastRenderedPageBreak/>
        <w:t xml:space="preserve">                                                                            Plungės rajono savivaldybės daugiabučių</w:t>
      </w:r>
    </w:p>
    <w:p w:rsidR="004745C8" w:rsidRDefault="004745C8" w:rsidP="0063447B">
      <w:r>
        <w:t xml:space="preserve">                                                                            gyvenamųjų namų bendrojo naudojimo objektų</w:t>
      </w:r>
    </w:p>
    <w:p w:rsidR="004745C8" w:rsidRDefault="004745C8" w:rsidP="0063447B">
      <w:r>
        <w:t xml:space="preserve">                                                                            maksimalaus administravimo mokesčio tarifo</w:t>
      </w:r>
    </w:p>
    <w:p w:rsidR="004745C8" w:rsidRDefault="004745C8" w:rsidP="0063447B">
      <w:r>
        <w:t xml:space="preserve">                                                                            apskaičiavimo tvarkos aprašo </w:t>
      </w:r>
    </w:p>
    <w:p w:rsidR="004745C8" w:rsidRDefault="004745C8" w:rsidP="0063447B">
      <w:r>
        <w:tab/>
      </w:r>
      <w:r>
        <w:tab/>
        <w:t xml:space="preserve">     </w:t>
      </w:r>
      <w:r>
        <w:tab/>
        <w:t xml:space="preserve">           1 priedas</w:t>
      </w:r>
    </w:p>
    <w:p w:rsidR="004745C8" w:rsidRDefault="004745C8" w:rsidP="0063447B"/>
    <w:p w:rsidR="004745C8" w:rsidRPr="00280A3F" w:rsidRDefault="004745C8" w:rsidP="0063447B">
      <w:pPr>
        <w:ind w:left="1418" w:hanging="1418"/>
        <w:rPr>
          <w:b/>
        </w:rPr>
      </w:pPr>
      <w:r w:rsidRPr="00280A3F">
        <w:rPr>
          <w:b/>
        </w:rPr>
        <w:t>Daugiabučių gyvenamųjų namų bendrojo naudojimo objektų maksimalių  administravimo mokesčio tarifų koeficientai, įvertin</w:t>
      </w:r>
      <w:r>
        <w:rPr>
          <w:b/>
        </w:rPr>
        <w:t>antys</w:t>
      </w:r>
      <w:r w:rsidRPr="00280A3F">
        <w:rPr>
          <w:b/>
        </w:rPr>
        <w:t xml:space="preserve"> pastatų amžių</w:t>
      </w:r>
    </w:p>
    <w:p w:rsidR="004745C8" w:rsidRDefault="004745C8" w:rsidP="006344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6"/>
        <w:gridCol w:w="4856"/>
      </w:tblGrid>
      <w:tr w:rsidR="004745C8">
        <w:tc>
          <w:tcPr>
            <w:tcW w:w="4856" w:type="dxa"/>
          </w:tcPr>
          <w:p w:rsidR="004745C8" w:rsidRDefault="004745C8" w:rsidP="0063447B">
            <w:r>
              <w:t xml:space="preserve">                Pastato amžius</w:t>
            </w:r>
          </w:p>
        </w:tc>
        <w:tc>
          <w:tcPr>
            <w:tcW w:w="4856" w:type="dxa"/>
          </w:tcPr>
          <w:p w:rsidR="004745C8" w:rsidRDefault="004745C8" w:rsidP="0063447B">
            <w:r>
              <w:t xml:space="preserve">                   </w:t>
            </w:r>
            <w:r w:rsidRPr="00594411">
              <w:t>Koeficientai (K1)</w:t>
            </w:r>
          </w:p>
        </w:tc>
      </w:tr>
      <w:tr w:rsidR="004745C8">
        <w:tc>
          <w:tcPr>
            <w:tcW w:w="4856" w:type="dxa"/>
          </w:tcPr>
          <w:p w:rsidR="004745C8" w:rsidRDefault="004745C8" w:rsidP="0063447B">
            <w:r w:rsidRPr="00594411">
              <w:t>iki 10 metų</w:t>
            </w:r>
          </w:p>
        </w:tc>
        <w:tc>
          <w:tcPr>
            <w:tcW w:w="4856" w:type="dxa"/>
          </w:tcPr>
          <w:p w:rsidR="004745C8" w:rsidRDefault="004745C8" w:rsidP="0063447B">
            <w:r>
              <w:t xml:space="preserve">                           0,80</w:t>
            </w:r>
          </w:p>
        </w:tc>
      </w:tr>
      <w:tr w:rsidR="004745C8">
        <w:tc>
          <w:tcPr>
            <w:tcW w:w="4856" w:type="dxa"/>
          </w:tcPr>
          <w:p w:rsidR="004745C8" w:rsidRDefault="004745C8" w:rsidP="0063447B">
            <w:r w:rsidRPr="00594411">
              <w:t>10–20 metų</w:t>
            </w:r>
          </w:p>
        </w:tc>
        <w:tc>
          <w:tcPr>
            <w:tcW w:w="4856" w:type="dxa"/>
          </w:tcPr>
          <w:p w:rsidR="004745C8" w:rsidRDefault="004745C8" w:rsidP="0063447B">
            <w:r>
              <w:t xml:space="preserve">                           0,90</w:t>
            </w:r>
          </w:p>
        </w:tc>
      </w:tr>
      <w:tr w:rsidR="004745C8">
        <w:tc>
          <w:tcPr>
            <w:tcW w:w="4856" w:type="dxa"/>
          </w:tcPr>
          <w:p w:rsidR="004745C8" w:rsidRDefault="004745C8" w:rsidP="0063447B">
            <w:r w:rsidRPr="00594411">
              <w:t>20–35 metai</w:t>
            </w:r>
          </w:p>
        </w:tc>
        <w:tc>
          <w:tcPr>
            <w:tcW w:w="4856" w:type="dxa"/>
          </w:tcPr>
          <w:p w:rsidR="004745C8" w:rsidRDefault="004745C8" w:rsidP="0063447B">
            <w:r>
              <w:t xml:space="preserve">                           1,00</w:t>
            </w:r>
          </w:p>
        </w:tc>
      </w:tr>
      <w:tr w:rsidR="004745C8">
        <w:tc>
          <w:tcPr>
            <w:tcW w:w="4856" w:type="dxa"/>
          </w:tcPr>
          <w:p w:rsidR="004745C8" w:rsidRPr="00594411" w:rsidRDefault="004745C8" w:rsidP="0063447B">
            <w:r w:rsidRPr="00594411">
              <w:t>Daugiau kaip 35 metai</w:t>
            </w:r>
          </w:p>
        </w:tc>
        <w:tc>
          <w:tcPr>
            <w:tcW w:w="4856" w:type="dxa"/>
          </w:tcPr>
          <w:p w:rsidR="004745C8" w:rsidRDefault="004745C8" w:rsidP="0063447B">
            <w:r>
              <w:t xml:space="preserve">                           1,10</w:t>
            </w:r>
          </w:p>
        </w:tc>
      </w:tr>
    </w:tbl>
    <w:p w:rsidR="004745C8" w:rsidRDefault="004745C8" w:rsidP="0063447B"/>
    <w:p w:rsidR="004745C8" w:rsidRDefault="004745C8" w:rsidP="0063447B">
      <w:r>
        <w:t xml:space="preserve">                                                              ____________________</w:t>
      </w:r>
    </w:p>
    <w:p w:rsidR="004745C8" w:rsidRDefault="004745C8" w:rsidP="0063447B">
      <w:r>
        <w:br w:type="page"/>
      </w:r>
    </w:p>
    <w:p w:rsidR="004745C8" w:rsidRDefault="004745C8" w:rsidP="0063447B">
      <w:r>
        <w:t xml:space="preserve">                                                                                  Plungės rajono savivaldybės daugiabučių</w:t>
      </w:r>
    </w:p>
    <w:p w:rsidR="004745C8" w:rsidRDefault="004745C8" w:rsidP="0063447B">
      <w:r>
        <w:t xml:space="preserve">                                                                                  gyvenamųjų namų bendrojo naudojimo objektų</w:t>
      </w:r>
    </w:p>
    <w:p w:rsidR="004745C8" w:rsidRDefault="004745C8" w:rsidP="0063447B">
      <w:r>
        <w:t xml:space="preserve">                                                                                  maksimalaus administravimo mokesčio tarifo</w:t>
      </w:r>
    </w:p>
    <w:p w:rsidR="004745C8" w:rsidRDefault="004745C8" w:rsidP="0063447B">
      <w:r>
        <w:t xml:space="preserve">                                                                                  apskaičiavimo tvarkos aprašo </w:t>
      </w:r>
    </w:p>
    <w:p w:rsidR="004745C8" w:rsidRDefault="004745C8" w:rsidP="0063447B">
      <w:r>
        <w:tab/>
      </w:r>
      <w:r>
        <w:tab/>
      </w:r>
      <w:r>
        <w:tab/>
        <w:t xml:space="preserve">                 2 priedas</w:t>
      </w:r>
    </w:p>
    <w:p w:rsidR="004745C8" w:rsidRDefault="004745C8" w:rsidP="0063447B"/>
    <w:p w:rsidR="004745C8" w:rsidRDefault="004745C8" w:rsidP="0063447B">
      <w:pPr>
        <w:ind w:left="2127" w:hanging="2127"/>
        <w:rPr>
          <w:b/>
        </w:rPr>
      </w:pPr>
      <w:r w:rsidRPr="004F06DF">
        <w:rPr>
          <w:b/>
        </w:rPr>
        <w:t>Daugiabučių gyvenamųjų namų bendrojo naudojimo objektų maksimalių administravimo  mokesčio tarifų koeficientai, įvertin</w:t>
      </w:r>
      <w:r>
        <w:rPr>
          <w:b/>
        </w:rPr>
        <w:t>antys</w:t>
      </w:r>
      <w:r w:rsidRPr="004F06DF">
        <w:rPr>
          <w:b/>
        </w:rPr>
        <w:t xml:space="preserve"> pastatų plotą</w:t>
      </w:r>
    </w:p>
    <w:p w:rsidR="004745C8" w:rsidRDefault="004745C8" w:rsidP="0063447B">
      <w:pPr>
        <w:ind w:left="2127" w:hanging="2127"/>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6"/>
        <w:gridCol w:w="4856"/>
      </w:tblGrid>
      <w:tr w:rsidR="004745C8" w:rsidRPr="006663BA">
        <w:tc>
          <w:tcPr>
            <w:tcW w:w="4856" w:type="dxa"/>
          </w:tcPr>
          <w:p w:rsidR="004745C8" w:rsidRPr="004F06DF" w:rsidRDefault="004745C8" w:rsidP="0063447B">
            <w:r w:rsidRPr="006663BA">
              <w:rPr>
                <w:b/>
              </w:rPr>
              <w:t xml:space="preserve">    </w:t>
            </w:r>
            <w:r w:rsidRPr="004F06DF">
              <w:t>Pastato bendras plotas</w:t>
            </w:r>
            <w:r>
              <w:t xml:space="preserve"> m²</w:t>
            </w:r>
          </w:p>
        </w:tc>
        <w:tc>
          <w:tcPr>
            <w:tcW w:w="4856" w:type="dxa"/>
          </w:tcPr>
          <w:p w:rsidR="004745C8" w:rsidRPr="007E32FE" w:rsidRDefault="004745C8" w:rsidP="0063447B">
            <w:r>
              <w:t xml:space="preserve">                   </w:t>
            </w:r>
            <w:r w:rsidRPr="007E32FE">
              <w:t>Koeficientai (K2)</w:t>
            </w:r>
          </w:p>
        </w:tc>
      </w:tr>
      <w:tr w:rsidR="004745C8" w:rsidRPr="006663BA">
        <w:tc>
          <w:tcPr>
            <w:tcW w:w="4856" w:type="dxa"/>
          </w:tcPr>
          <w:p w:rsidR="004745C8" w:rsidRPr="007E32FE" w:rsidRDefault="004745C8" w:rsidP="0063447B">
            <w:r w:rsidRPr="007E32FE">
              <w:t>Iki 1000</w:t>
            </w:r>
          </w:p>
        </w:tc>
        <w:tc>
          <w:tcPr>
            <w:tcW w:w="4856" w:type="dxa"/>
          </w:tcPr>
          <w:p w:rsidR="004745C8" w:rsidRPr="007E32FE" w:rsidRDefault="004745C8" w:rsidP="0063447B">
            <w:r w:rsidRPr="006663BA">
              <w:rPr>
                <w:b/>
              </w:rPr>
              <w:t xml:space="preserve">                        </w:t>
            </w:r>
            <w:r w:rsidRPr="007E32FE">
              <w:t>1,45</w:t>
            </w:r>
          </w:p>
        </w:tc>
      </w:tr>
      <w:tr w:rsidR="004745C8" w:rsidRPr="006663BA">
        <w:tc>
          <w:tcPr>
            <w:tcW w:w="4856" w:type="dxa"/>
          </w:tcPr>
          <w:p w:rsidR="004745C8" w:rsidRPr="007E32FE" w:rsidRDefault="004745C8" w:rsidP="0063447B">
            <w:r w:rsidRPr="007E32FE">
              <w:t>1001-2000</w:t>
            </w:r>
          </w:p>
        </w:tc>
        <w:tc>
          <w:tcPr>
            <w:tcW w:w="4856" w:type="dxa"/>
          </w:tcPr>
          <w:p w:rsidR="004745C8" w:rsidRPr="007E32FE" w:rsidRDefault="004745C8" w:rsidP="0063447B">
            <w:r w:rsidRPr="006663BA">
              <w:rPr>
                <w:b/>
              </w:rPr>
              <w:t xml:space="preserve">                        </w:t>
            </w:r>
            <w:r w:rsidRPr="007E32FE">
              <w:t>1,25</w:t>
            </w:r>
          </w:p>
        </w:tc>
      </w:tr>
      <w:tr w:rsidR="004745C8" w:rsidRPr="006663BA">
        <w:tc>
          <w:tcPr>
            <w:tcW w:w="4856" w:type="dxa"/>
          </w:tcPr>
          <w:p w:rsidR="004745C8" w:rsidRPr="007E32FE" w:rsidRDefault="004745C8" w:rsidP="0063447B">
            <w:r w:rsidRPr="007E32FE">
              <w:t>2001–3000</w:t>
            </w:r>
          </w:p>
        </w:tc>
        <w:tc>
          <w:tcPr>
            <w:tcW w:w="4856" w:type="dxa"/>
          </w:tcPr>
          <w:p w:rsidR="004745C8" w:rsidRPr="007E32FE" w:rsidRDefault="004745C8" w:rsidP="0063447B">
            <w:r w:rsidRPr="006663BA">
              <w:rPr>
                <w:b/>
              </w:rPr>
              <w:t xml:space="preserve">                        </w:t>
            </w:r>
            <w:r w:rsidRPr="007E32FE">
              <w:t>1,00</w:t>
            </w:r>
          </w:p>
        </w:tc>
      </w:tr>
      <w:tr w:rsidR="004745C8" w:rsidRPr="006663BA">
        <w:tc>
          <w:tcPr>
            <w:tcW w:w="4856" w:type="dxa"/>
          </w:tcPr>
          <w:p w:rsidR="004745C8" w:rsidRPr="007E32FE" w:rsidRDefault="004745C8" w:rsidP="0063447B">
            <w:r w:rsidRPr="007E32FE">
              <w:t>Daugiau kaip 3000</w:t>
            </w:r>
          </w:p>
        </w:tc>
        <w:tc>
          <w:tcPr>
            <w:tcW w:w="4856" w:type="dxa"/>
          </w:tcPr>
          <w:p w:rsidR="004745C8" w:rsidRPr="007E32FE" w:rsidRDefault="004745C8" w:rsidP="0063447B">
            <w:r w:rsidRPr="006663BA">
              <w:rPr>
                <w:b/>
              </w:rPr>
              <w:t xml:space="preserve">                        </w:t>
            </w:r>
            <w:r w:rsidRPr="007E32FE">
              <w:t>0,80</w:t>
            </w:r>
          </w:p>
        </w:tc>
      </w:tr>
    </w:tbl>
    <w:p w:rsidR="004745C8" w:rsidRDefault="004745C8" w:rsidP="0063447B">
      <w:pPr>
        <w:ind w:left="2127" w:hanging="2127"/>
        <w:rPr>
          <w:b/>
        </w:rPr>
      </w:pPr>
    </w:p>
    <w:p w:rsidR="004745C8" w:rsidRPr="004F06DF" w:rsidRDefault="004745C8" w:rsidP="0063447B">
      <w:pPr>
        <w:ind w:left="2127" w:hanging="2127"/>
        <w:rPr>
          <w:b/>
        </w:rPr>
      </w:pPr>
      <w:r>
        <w:rPr>
          <w:b/>
        </w:rPr>
        <w:t xml:space="preserve">                                                        </w:t>
      </w:r>
      <w:r w:rsidRPr="007E32FE">
        <w:rPr>
          <w:b/>
        </w:rPr>
        <w:t>____________________</w:t>
      </w:r>
    </w:p>
    <w:p w:rsidR="004745C8" w:rsidRDefault="004745C8" w:rsidP="0063447B">
      <w:r>
        <w:br w:type="page"/>
      </w:r>
    </w:p>
    <w:p w:rsidR="004745C8" w:rsidRDefault="004745C8" w:rsidP="0063447B">
      <w:r>
        <w:t xml:space="preserve">                                                                                  Plungės rajono savivaldybės daugiabučių</w:t>
      </w:r>
    </w:p>
    <w:p w:rsidR="004745C8" w:rsidRDefault="004745C8" w:rsidP="0063447B">
      <w:r>
        <w:t xml:space="preserve">                                                                                  gyvenamųjų namų bendrojo naudojimo objektų</w:t>
      </w:r>
    </w:p>
    <w:p w:rsidR="004745C8" w:rsidRDefault="004745C8" w:rsidP="0063447B">
      <w:r>
        <w:t xml:space="preserve">                                                                                  maksimalaus administravimo mokesčio tarifo</w:t>
      </w:r>
    </w:p>
    <w:p w:rsidR="004745C8" w:rsidRDefault="004745C8" w:rsidP="0063447B">
      <w:r>
        <w:t xml:space="preserve">                                                                                  apskaičiavimo tvarkos aprašo </w:t>
      </w:r>
    </w:p>
    <w:p w:rsidR="004745C8" w:rsidRDefault="004745C8" w:rsidP="0063447B">
      <w:r>
        <w:tab/>
      </w:r>
      <w:r>
        <w:tab/>
      </w:r>
      <w:r>
        <w:tab/>
        <w:t xml:space="preserve">                 3 priedas</w:t>
      </w:r>
    </w:p>
    <w:p w:rsidR="004745C8" w:rsidRDefault="004745C8" w:rsidP="0063447B"/>
    <w:p w:rsidR="004745C8" w:rsidRDefault="004745C8" w:rsidP="0063447B">
      <w:pPr>
        <w:ind w:left="1418" w:hanging="1418"/>
        <w:rPr>
          <w:b/>
        </w:rPr>
      </w:pPr>
      <w:r w:rsidRPr="008D3228">
        <w:rPr>
          <w:b/>
        </w:rPr>
        <w:t>Daugiabučių gyvenamųjų namų bendrojo naudojimo objektų maksimalių administravimo mokesčio tarifų koeficientai, įvertin</w:t>
      </w:r>
      <w:r>
        <w:rPr>
          <w:b/>
        </w:rPr>
        <w:t>antys buitinių patogumų lygmenį</w:t>
      </w:r>
    </w:p>
    <w:p w:rsidR="004745C8" w:rsidRDefault="004745C8" w:rsidP="0063447B">
      <w:pPr>
        <w:ind w:left="1418" w:hanging="1418"/>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6"/>
        <w:gridCol w:w="4856"/>
      </w:tblGrid>
      <w:tr w:rsidR="004745C8" w:rsidRPr="006663BA">
        <w:tc>
          <w:tcPr>
            <w:tcW w:w="4856" w:type="dxa"/>
          </w:tcPr>
          <w:p w:rsidR="004745C8" w:rsidRPr="008D3228" w:rsidRDefault="004745C8" w:rsidP="0063447B">
            <w:r w:rsidRPr="008D3228">
              <w:t>Buitinių patogumų lygis</w:t>
            </w:r>
          </w:p>
        </w:tc>
        <w:tc>
          <w:tcPr>
            <w:tcW w:w="4856" w:type="dxa"/>
          </w:tcPr>
          <w:p w:rsidR="004745C8" w:rsidRPr="008D3228" w:rsidRDefault="004745C8" w:rsidP="0063447B">
            <w:r>
              <w:t xml:space="preserve">               </w:t>
            </w:r>
            <w:r w:rsidRPr="008D3228">
              <w:t>Koeficientai (K3)</w:t>
            </w:r>
          </w:p>
        </w:tc>
      </w:tr>
      <w:tr w:rsidR="004745C8" w:rsidRPr="006663BA">
        <w:tc>
          <w:tcPr>
            <w:tcW w:w="4856" w:type="dxa"/>
          </w:tcPr>
          <w:p w:rsidR="004745C8" w:rsidRPr="008D3228" w:rsidRDefault="004745C8" w:rsidP="0063447B">
            <w:r w:rsidRPr="008D3228">
              <w:t>Namai be centrinio šildymo</w:t>
            </w:r>
          </w:p>
        </w:tc>
        <w:tc>
          <w:tcPr>
            <w:tcW w:w="4856" w:type="dxa"/>
          </w:tcPr>
          <w:p w:rsidR="004745C8" w:rsidRPr="008D3228" w:rsidRDefault="004745C8" w:rsidP="0063447B">
            <w:r>
              <w:t xml:space="preserve">                         </w:t>
            </w:r>
            <w:r w:rsidRPr="008D3228">
              <w:t>0,80</w:t>
            </w:r>
          </w:p>
        </w:tc>
      </w:tr>
      <w:tr w:rsidR="004745C8" w:rsidRPr="006663BA">
        <w:tc>
          <w:tcPr>
            <w:tcW w:w="4856" w:type="dxa"/>
          </w:tcPr>
          <w:p w:rsidR="004745C8" w:rsidRPr="008D3228" w:rsidRDefault="004745C8" w:rsidP="0063447B">
            <w:r w:rsidRPr="008D3228">
              <w:t>Namai su centriniu šildymu</w:t>
            </w:r>
          </w:p>
        </w:tc>
        <w:tc>
          <w:tcPr>
            <w:tcW w:w="4856" w:type="dxa"/>
          </w:tcPr>
          <w:p w:rsidR="004745C8" w:rsidRPr="008D3228" w:rsidRDefault="004745C8" w:rsidP="0063447B">
            <w:r>
              <w:t xml:space="preserve">                         </w:t>
            </w:r>
            <w:r w:rsidRPr="008D3228">
              <w:t>1,00</w:t>
            </w:r>
          </w:p>
        </w:tc>
      </w:tr>
      <w:tr w:rsidR="004745C8" w:rsidRPr="006663BA">
        <w:trPr>
          <w:trHeight w:val="305"/>
        </w:trPr>
        <w:tc>
          <w:tcPr>
            <w:tcW w:w="4856" w:type="dxa"/>
          </w:tcPr>
          <w:p w:rsidR="004745C8" w:rsidRPr="006663BA" w:rsidRDefault="004745C8" w:rsidP="0063447B">
            <w:pPr>
              <w:rPr>
                <w:b/>
              </w:rPr>
            </w:pPr>
          </w:p>
        </w:tc>
        <w:tc>
          <w:tcPr>
            <w:tcW w:w="4856" w:type="dxa"/>
          </w:tcPr>
          <w:p w:rsidR="004745C8" w:rsidRPr="006663BA" w:rsidRDefault="004745C8" w:rsidP="0063447B">
            <w:pPr>
              <w:rPr>
                <w:b/>
              </w:rPr>
            </w:pPr>
          </w:p>
        </w:tc>
      </w:tr>
    </w:tbl>
    <w:p w:rsidR="004745C8" w:rsidRPr="008D3228" w:rsidRDefault="004745C8" w:rsidP="0063447B">
      <w:pPr>
        <w:rPr>
          <w:b/>
        </w:rPr>
      </w:pPr>
    </w:p>
    <w:p w:rsidR="004745C8" w:rsidRDefault="004745C8" w:rsidP="0063447B">
      <w:pPr>
        <w:jc w:val="both"/>
      </w:pPr>
      <w:r>
        <w:t xml:space="preserve">                                                    ______________</w:t>
      </w:r>
    </w:p>
    <w:p w:rsidR="004745C8" w:rsidRDefault="004745C8" w:rsidP="00594FDA">
      <w:pPr>
        <w:jc w:val="both"/>
      </w:pPr>
      <w:r>
        <w:br w:type="page"/>
      </w:r>
    </w:p>
    <w:p w:rsidR="004745C8" w:rsidRPr="00D76676" w:rsidRDefault="004745C8" w:rsidP="00D44D8C">
      <w:r w:rsidRPr="0003172C">
        <w:rPr>
          <w:b/>
        </w:rPr>
        <w:t xml:space="preserve">                                </w:t>
      </w:r>
      <w:r>
        <w:rPr>
          <w:b/>
        </w:rPr>
        <w:t xml:space="preserve">                                  </w:t>
      </w:r>
      <w:r w:rsidRPr="00D76676">
        <w:t>Plungės rajono savivaldybės daugiabučių</w:t>
      </w:r>
    </w:p>
    <w:p w:rsidR="004745C8" w:rsidRPr="00D76676" w:rsidRDefault="004745C8" w:rsidP="00D44D8C">
      <w:r w:rsidRPr="00D76676">
        <w:t xml:space="preserve">                                                                 </w:t>
      </w:r>
      <w:r>
        <w:t xml:space="preserve"> </w:t>
      </w:r>
      <w:r w:rsidRPr="00D76676">
        <w:t>gyvenamųjų namų bendrojo naudojimo objektų</w:t>
      </w:r>
    </w:p>
    <w:p w:rsidR="004745C8" w:rsidRPr="00D76676" w:rsidRDefault="004745C8" w:rsidP="00D44D8C">
      <w:r w:rsidRPr="00D76676">
        <w:t xml:space="preserve">                                                                  maksimalaus administravimo mokesčio tarifo</w:t>
      </w:r>
    </w:p>
    <w:p w:rsidR="004745C8" w:rsidRDefault="004745C8" w:rsidP="00D44D8C">
      <w:r w:rsidRPr="00D76676">
        <w:t xml:space="preserve">                                                               </w:t>
      </w:r>
      <w:r>
        <w:t xml:space="preserve">    </w:t>
      </w:r>
      <w:r w:rsidRPr="00D76676">
        <w:t>apskaičiavimo tvarkos aprašo</w:t>
      </w:r>
    </w:p>
    <w:p w:rsidR="004745C8" w:rsidRPr="00D76676" w:rsidRDefault="004745C8" w:rsidP="00D44D8C">
      <w:r w:rsidRPr="00D76676">
        <w:t xml:space="preserve"> </w:t>
      </w:r>
      <w:r>
        <w:tab/>
      </w:r>
      <w:r>
        <w:tab/>
      </w:r>
      <w:r>
        <w:tab/>
        <w:t xml:space="preserve">  </w:t>
      </w:r>
      <w:r w:rsidRPr="00D76676">
        <w:t>4 priedas</w:t>
      </w:r>
    </w:p>
    <w:p w:rsidR="004745C8" w:rsidRPr="007917AC" w:rsidRDefault="004745C8" w:rsidP="00D44D8C">
      <w:pPr>
        <w:spacing w:before="100" w:beforeAutospacing="1" w:after="100" w:afterAutospacing="1"/>
        <w:jc w:val="center"/>
        <w:rPr>
          <w:b/>
        </w:rPr>
      </w:pPr>
      <w:r w:rsidRPr="007917AC">
        <w:rPr>
          <w:b/>
        </w:rPr>
        <w:t>ADMINISTRATORIAUS ATLIEKAMŲ DARBŲ</w:t>
      </w:r>
      <w:r>
        <w:rPr>
          <w:b/>
        </w:rPr>
        <w:t xml:space="preserve"> (VEIKLOS)</w:t>
      </w:r>
      <w:r w:rsidRPr="007917AC">
        <w:rPr>
          <w:b/>
        </w:rPr>
        <w:t xml:space="preserve"> SĄRAŠAS</w:t>
      </w:r>
    </w:p>
    <w:tbl>
      <w:tblP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804"/>
        <w:gridCol w:w="6548"/>
        <w:gridCol w:w="2537"/>
      </w:tblGrid>
      <w:tr w:rsidR="004745C8" w:rsidRPr="005C5B7D" w:rsidTr="0013643A">
        <w:trPr>
          <w:trHeight w:val="1587"/>
        </w:trPr>
        <w:tc>
          <w:tcPr>
            <w:tcW w:w="804" w:type="dxa"/>
            <w:tcBorders>
              <w:top w:val="double" w:sz="6" w:space="0" w:color="000000"/>
            </w:tcBorders>
          </w:tcPr>
          <w:p w:rsidR="004745C8" w:rsidRPr="005C5B7D" w:rsidRDefault="004745C8" w:rsidP="00D44D8C">
            <w:pPr>
              <w:spacing w:before="100" w:beforeAutospacing="1" w:after="100" w:afterAutospacing="1"/>
              <w:jc w:val="both"/>
              <w:rPr>
                <w:caps/>
                <w:sz w:val="20"/>
              </w:rPr>
            </w:pPr>
          </w:p>
          <w:p w:rsidR="004745C8" w:rsidRPr="005C5B7D" w:rsidRDefault="004745C8" w:rsidP="00D44D8C">
            <w:pPr>
              <w:spacing w:before="100" w:beforeAutospacing="1" w:after="100" w:afterAutospacing="1"/>
              <w:jc w:val="both"/>
              <w:rPr>
                <w:caps/>
                <w:sz w:val="20"/>
              </w:rPr>
            </w:pPr>
            <w:r w:rsidRPr="00F81EDE">
              <w:rPr>
                <w:caps/>
              </w:rPr>
              <w:t>Eil. Nr</w:t>
            </w:r>
            <w:r w:rsidRPr="005C5B7D">
              <w:rPr>
                <w:caps/>
                <w:sz w:val="20"/>
              </w:rPr>
              <w:t>.</w:t>
            </w:r>
          </w:p>
          <w:p w:rsidR="004745C8" w:rsidRPr="005C5B7D" w:rsidRDefault="004745C8" w:rsidP="00D44D8C">
            <w:pPr>
              <w:spacing w:before="100" w:beforeAutospacing="1" w:after="100" w:afterAutospacing="1"/>
              <w:jc w:val="both"/>
              <w:rPr>
                <w:caps/>
                <w:sz w:val="20"/>
              </w:rPr>
            </w:pPr>
          </w:p>
        </w:tc>
        <w:tc>
          <w:tcPr>
            <w:tcW w:w="6548" w:type="dxa"/>
            <w:tcBorders>
              <w:top w:val="double" w:sz="6" w:space="0" w:color="000000"/>
            </w:tcBorders>
            <w:vAlign w:val="center"/>
          </w:tcPr>
          <w:p w:rsidR="004745C8" w:rsidRPr="005C5B7D" w:rsidRDefault="004745C8" w:rsidP="001404FA">
            <w:pPr>
              <w:spacing w:before="100" w:beforeAutospacing="1" w:after="100" w:afterAutospacing="1"/>
              <w:jc w:val="center"/>
              <w:rPr>
                <w:caps/>
                <w:sz w:val="20"/>
              </w:rPr>
            </w:pPr>
            <w:r w:rsidRPr="00F81EDE">
              <w:rPr>
                <w:caps/>
              </w:rPr>
              <w:t>Darbo pavadinimas</w:t>
            </w:r>
          </w:p>
        </w:tc>
        <w:tc>
          <w:tcPr>
            <w:tcW w:w="2537" w:type="dxa"/>
            <w:tcBorders>
              <w:top w:val="double" w:sz="6" w:space="0" w:color="000000"/>
            </w:tcBorders>
          </w:tcPr>
          <w:p w:rsidR="004745C8" w:rsidRPr="00F81EDE" w:rsidRDefault="004745C8" w:rsidP="00D44D8C">
            <w:pPr>
              <w:spacing w:before="100" w:beforeAutospacing="1" w:after="100" w:afterAutospacing="1"/>
              <w:rPr>
                <w:caps/>
              </w:rPr>
            </w:pPr>
            <w:r w:rsidRPr="00F81EDE">
              <w:rPr>
                <w:caps/>
              </w:rPr>
              <w:t>Skaičiuojamosios darbo laiko sąnaudos žm./val. per metus</w:t>
            </w:r>
          </w:p>
        </w:tc>
      </w:tr>
      <w:tr w:rsidR="004745C8" w:rsidRPr="007917AC">
        <w:tc>
          <w:tcPr>
            <w:tcW w:w="9889" w:type="dxa"/>
            <w:gridSpan w:val="3"/>
          </w:tcPr>
          <w:p w:rsidR="004745C8" w:rsidRPr="00156421" w:rsidRDefault="004745C8" w:rsidP="00D44D8C">
            <w:pPr>
              <w:spacing w:before="100" w:beforeAutospacing="1" w:after="100" w:afterAutospacing="1"/>
            </w:pPr>
            <w:r w:rsidRPr="00156421">
              <w:t>1. Nuolatiniai darbai (1.1</w:t>
            </w:r>
            <w:r>
              <w:t>.</w:t>
            </w:r>
            <w:r w:rsidRPr="00156421">
              <w:t>-1.12.)</w:t>
            </w:r>
          </w:p>
        </w:tc>
      </w:tr>
      <w:tr w:rsidR="004745C8" w:rsidRPr="007917AC" w:rsidTr="0013643A">
        <w:trPr>
          <w:trHeight w:val="895"/>
        </w:trPr>
        <w:tc>
          <w:tcPr>
            <w:tcW w:w="804" w:type="dxa"/>
          </w:tcPr>
          <w:p w:rsidR="004745C8" w:rsidRPr="005C5B7D" w:rsidRDefault="004745C8" w:rsidP="00D44D8C">
            <w:pPr>
              <w:spacing w:before="100" w:beforeAutospacing="1" w:after="100" w:afterAutospacing="1"/>
            </w:pPr>
            <w:r w:rsidRPr="005C5B7D">
              <w:t>1.1.</w:t>
            </w:r>
          </w:p>
        </w:tc>
        <w:tc>
          <w:tcPr>
            <w:tcW w:w="6548" w:type="dxa"/>
          </w:tcPr>
          <w:p w:rsidR="004745C8" w:rsidRPr="005C5B7D" w:rsidRDefault="004745C8" w:rsidP="00D44D8C">
            <w:pPr>
              <w:spacing w:before="100" w:beforeAutospacing="1" w:after="100" w:afterAutospacing="1"/>
            </w:pPr>
            <w:r w:rsidRPr="005C5B7D">
              <w:t>Namo, atskirų jo konstrukcijų ir inžinerinės įrangos kasmetinių apžiūrų organizavimas ir vykdymo kontrolė (pasibaigus šildymo sezonui)</w:t>
            </w:r>
          </w:p>
        </w:tc>
        <w:tc>
          <w:tcPr>
            <w:tcW w:w="2537" w:type="dxa"/>
          </w:tcPr>
          <w:p w:rsidR="004745C8" w:rsidRPr="005C5B7D" w:rsidRDefault="004745C8" w:rsidP="00D44D8C">
            <w:pPr>
              <w:spacing w:before="100" w:beforeAutospacing="1" w:after="100" w:afterAutospacing="1"/>
            </w:pPr>
            <w:r w:rsidRPr="005C5B7D">
              <w:t>5,00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1.2.</w:t>
            </w:r>
          </w:p>
        </w:tc>
        <w:tc>
          <w:tcPr>
            <w:tcW w:w="6548" w:type="dxa"/>
          </w:tcPr>
          <w:p w:rsidR="004745C8" w:rsidRPr="005C5B7D" w:rsidRDefault="004745C8" w:rsidP="00D44D8C">
            <w:pPr>
              <w:spacing w:before="100" w:beforeAutospacing="1" w:after="100" w:afterAutospacing="1"/>
            </w:pPr>
            <w:r w:rsidRPr="005C5B7D">
              <w:t>Namo inžinerinės įrangos kasmetinių apžiūrų organizavimas ir vykdymo kontrolė (pasirengiant šildymo sezonui)</w:t>
            </w:r>
          </w:p>
        </w:tc>
        <w:tc>
          <w:tcPr>
            <w:tcW w:w="2537" w:type="dxa"/>
          </w:tcPr>
          <w:p w:rsidR="004745C8" w:rsidRPr="005C5B7D" w:rsidRDefault="004745C8" w:rsidP="00D44D8C">
            <w:pPr>
              <w:spacing w:before="100" w:beforeAutospacing="1" w:after="100" w:afterAutospacing="1"/>
            </w:pPr>
            <w:r w:rsidRPr="005C5B7D">
              <w:t>3,00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1.3.</w:t>
            </w:r>
          </w:p>
        </w:tc>
        <w:tc>
          <w:tcPr>
            <w:tcW w:w="6548" w:type="dxa"/>
          </w:tcPr>
          <w:p w:rsidR="004745C8" w:rsidRPr="005C5B7D" w:rsidRDefault="004745C8" w:rsidP="00D44D8C">
            <w:pPr>
              <w:spacing w:before="100" w:beforeAutospacing="1" w:after="100" w:afterAutospacing="1"/>
            </w:pPr>
            <w:r w:rsidRPr="005C5B7D">
              <w:t>Remonto darbų planų rengimas remiantis apžiūrų duomenimis</w:t>
            </w:r>
          </w:p>
        </w:tc>
        <w:tc>
          <w:tcPr>
            <w:tcW w:w="2537" w:type="dxa"/>
          </w:tcPr>
          <w:p w:rsidR="004745C8" w:rsidRPr="005C5B7D" w:rsidRDefault="004745C8" w:rsidP="00D44D8C">
            <w:pPr>
              <w:spacing w:before="100" w:beforeAutospacing="1" w:after="100" w:afterAutospacing="1"/>
              <w:jc w:val="both"/>
            </w:pPr>
            <w:r>
              <w:t>6</w:t>
            </w:r>
            <w:r w:rsidRPr="005C5B7D">
              <w:t>,00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1.4.</w:t>
            </w:r>
          </w:p>
        </w:tc>
        <w:tc>
          <w:tcPr>
            <w:tcW w:w="6548" w:type="dxa"/>
          </w:tcPr>
          <w:p w:rsidR="004745C8" w:rsidRPr="005C5B7D" w:rsidRDefault="004745C8" w:rsidP="00D44D8C">
            <w:pPr>
              <w:spacing w:before="100" w:beforeAutospacing="1" w:after="100" w:afterAutospacing="1"/>
            </w:pPr>
            <w:r w:rsidRPr="005C5B7D">
              <w:t>Namo, atskirų jo konstrukcijų ir inžinerinės įrangos būklės nuolatinių stebėjimų vykdymo kontrolė</w:t>
            </w:r>
          </w:p>
        </w:tc>
        <w:tc>
          <w:tcPr>
            <w:tcW w:w="2537" w:type="dxa"/>
          </w:tcPr>
          <w:p w:rsidR="004745C8" w:rsidRPr="005C5B7D" w:rsidRDefault="004745C8" w:rsidP="00D44D8C">
            <w:pPr>
              <w:spacing w:before="100" w:beforeAutospacing="1" w:after="100" w:afterAutospacing="1"/>
            </w:pPr>
            <w:r w:rsidRPr="005C5B7D">
              <w:t>1,00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1.5.</w:t>
            </w:r>
          </w:p>
        </w:tc>
        <w:tc>
          <w:tcPr>
            <w:tcW w:w="6548" w:type="dxa"/>
          </w:tcPr>
          <w:p w:rsidR="004745C8" w:rsidRPr="005C5B7D" w:rsidRDefault="004745C8" w:rsidP="00D44D8C">
            <w:pPr>
              <w:spacing w:before="100" w:beforeAutospacing="1" w:after="100" w:afterAutospacing="1"/>
            </w:pPr>
            <w:r w:rsidRPr="005C5B7D">
              <w:t>Namo konstrukcijų nuolatinės techninės priežiūros vykdymo kontrolė</w:t>
            </w:r>
          </w:p>
        </w:tc>
        <w:tc>
          <w:tcPr>
            <w:tcW w:w="2537" w:type="dxa"/>
          </w:tcPr>
          <w:p w:rsidR="004745C8" w:rsidRPr="005C5B7D" w:rsidRDefault="004745C8" w:rsidP="00D44D8C">
            <w:pPr>
              <w:spacing w:before="100" w:beforeAutospacing="1" w:after="100" w:afterAutospacing="1"/>
            </w:pPr>
            <w:r w:rsidRPr="005C5B7D">
              <w:t>1,00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1.6.</w:t>
            </w:r>
          </w:p>
        </w:tc>
        <w:tc>
          <w:tcPr>
            <w:tcW w:w="6548" w:type="dxa"/>
          </w:tcPr>
          <w:p w:rsidR="004745C8" w:rsidRPr="005C5B7D" w:rsidRDefault="004745C8" w:rsidP="00D44D8C">
            <w:pPr>
              <w:spacing w:before="100" w:beforeAutospacing="1" w:after="100" w:afterAutospacing="1"/>
            </w:pPr>
            <w:r w:rsidRPr="005C5B7D">
              <w:t xml:space="preserve">Namo bendrojo naudojimo objektų aprašo tikslinimas </w:t>
            </w:r>
          </w:p>
        </w:tc>
        <w:tc>
          <w:tcPr>
            <w:tcW w:w="2537" w:type="dxa"/>
          </w:tcPr>
          <w:p w:rsidR="004745C8" w:rsidRPr="005C5B7D" w:rsidRDefault="004745C8" w:rsidP="00D44D8C">
            <w:pPr>
              <w:spacing w:before="100" w:beforeAutospacing="1" w:after="100" w:afterAutospacing="1"/>
            </w:pPr>
            <w:r w:rsidRPr="005C5B7D">
              <w:t>2,00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1.7.</w:t>
            </w:r>
          </w:p>
        </w:tc>
        <w:tc>
          <w:tcPr>
            <w:tcW w:w="6548" w:type="dxa"/>
          </w:tcPr>
          <w:p w:rsidR="004745C8" w:rsidRPr="005C5B7D" w:rsidRDefault="004745C8" w:rsidP="00D44D8C">
            <w:pPr>
              <w:spacing w:before="100" w:beforeAutospacing="1" w:after="100" w:afterAutospacing="1"/>
            </w:pPr>
            <w:r w:rsidRPr="005C5B7D">
              <w:t>Pajamų ir išlaidų, susijusių su bendrosios nuosavybės valdymu, apskaitos tvarkymas</w:t>
            </w:r>
          </w:p>
        </w:tc>
        <w:tc>
          <w:tcPr>
            <w:tcW w:w="2537" w:type="dxa"/>
          </w:tcPr>
          <w:p w:rsidR="004745C8" w:rsidRPr="005C5B7D" w:rsidRDefault="004745C8" w:rsidP="00D44D8C">
            <w:pPr>
              <w:spacing w:before="100" w:beforeAutospacing="1" w:after="100" w:afterAutospacing="1"/>
            </w:pPr>
            <w:r w:rsidRPr="005C5B7D">
              <w:t>4,00</w:t>
            </w:r>
          </w:p>
        </w:tc>
      </w:tr>
      <w:tr w:rsidR="004745C8" w:rsidRPr="007917AC" w:rsidTr="0013643A">
        <w:trPr>
          <w:trHeight w:val="873"/>
        </w:trPr>
        <w:tc>
          <w:tcPr>
            <w:tcW w:w="804" w:type="dxa"/>
          </w:tcPr>
          <w:p w:rsidR="004745C8" w:rsidRPr="005C5B7D" w:rsidRDefault="004745C8" w:rsidP="00D44D8C">
            <w:pPr>
              <w:spacing w:before="100" w:beforeAutospacing="1" w:after="100" w:afterAutospacing="1"/>
            </w:pPr>
            <w:r w:rsidRPr="005C5B7D">
              <w:t>1.8.</w:t>
            </w:r>
          </w:p>
        </w:tc>
        <w:tc>
          <w:tcPr>
            <w:tcW w:w="6548" w:type="dxa"/>
          </w:tcPr>
          <w:p w:rsidR="004745C8" w:rsidRPr="005C5B7D" w:rsidRDefault="004745C8" w:rsidP="00D44D8C">
            <w:pPr>
              <w:spacing w:before="100" w:beforeAutospacing="1" w:after="100" w:afterAutospacing="1"/>
            </w:pPr>
            <w:r w:rsidRPr="005C5B7D">
              <w:t>Mėnesinių mokėjimų (administravimo, techninės pri</w:t>
            </w:r>
            <w:r>
              <w:t>e</w:t>
            </w:r>
            <w:r w:rsidRPr="005C5B7D">
              <w:t>žiūros ir kaupiamojo mokesčio) patalpų</w:t>
            </w:r>
            <w:r w:rsidRPr="005C5B7D">
              <w:rPr>
                <w:b/>
              </w:rPr>
              <w:t xml:space="preserve"> </w:t>
            </w:r>
            <w:r w:rsidRPr="005C5B7D">
              <w:t>savininkams apskaičiavimas</w:t>
            </w:r>
          </w:p>
        </w:tc>
        <w:tc>
          <w:tcPr>
            <w:tcW w:w="2537" w:type="dxa"/>
          </w:tcPr>
          <w:p w:rsidR="004745C8" w:rsidRPr="005C5B7D" w:rsidRDefault="004745C8" w:rsidP="00D44D8C">
            <w:pPr>
              <w:spacing w:before="100" w:beforeAutospacing="1" w:after="100" w:afterAutospacing="1"/>
            </w:pPr>
            <w:r w:rsidRPr="005C5B7D">
              <w:t>30,00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1.9.</w:t>
            </w:r>
          </w:p>
        </w:tc>
        <w:tc>
          <w:tcPr>
            <w:tcW w:w="6548" w:type="dxa"/>
          </w:tcPr>
          <w:p w:rsidR="004745C8" w:rsidRPr="005C5B7D" w:rsidRDefault="004745C8" w:rsidP="00D44D8C">
            <w:pPr>
              <w:spacing w:before="100" w:beforeAutospacing="1" w:after="100" w:afterAutospacing="1"/>
            </w:pPr>
            <w:r w:rsidRPr="005C5B7D">
              <w:t>Kasmetinės ataskaitos gyventojams parengimas</w:t>
            </w:r>
          </w:p>
        </w:tc>
        <w:tc>
          <w:tcPr>
            <w:tcW w:w="2537" w:type="dxa"/>
          </w:tcPr>
          <w:p w:rsidR="004745C8" w:rsidRPr="005C5B7D" w:rsidRDefault="004745C8" w:rsidP="00D44D8C">
            <w:pPr>
              <w:spacing w:before="100" w:beforeAutospacing="1" w:after="100" w:afterAutospacing="1"/>
            </w:pPr>
            <w:r w:rsidRPr="005C5B7D">
              <w:t>3,00</w:t>
            </w:r>
          </w:p>
        </w:tc>
      </w:tr>
      <w:tr w:rsidR="004745C8" w:rsidRPr="007917AC" w:rsidTr="0013643A">
        <w:trPr>
          <w:trHeight w:val="339"/>
        </w:trPr>
        <w:tc>
          <w:tcPr>
            <w:tcW w:w="804" w:type="dxa"/>
          </w:tcPr>
          <w:p w:rsidR="004745C8" w:rsidRPr="005C5B7D" w:rsidRDefault="004745C8" w:rsidP="00D44D8C">
            <w:pPr>
              <w:spacing w:before="100" w:beforeAutospacing="1" w:after="100" w:afterAutospacing="1"/>
            </w:pPr>
            <w:r w:rsidRPr="005C5B7D">
              <w:t>1.10.</w:t>
            </w:r>
          </w:p>
        </w:tc>
        <w:tc>
          <w:tcPr>
            <w:tcW w:w="6548" w:type="dxa"/>
          </w:tcPr>
          <w:p w:rsidR="004745C8" w:rsidRPr="005C5B7D" w:rsidRDefault="004745C8" w:rsidP="00D44D8C">
            <w:pPr>
              <w:spacing w:before="100" w:beforeAutospacing="1" w:after="100" w:afterAutospacing="1"/>
            </w:pPr>
            <w:r w:rsidRPr="005C5B7D">
              <w:t>Kasmetinio ataskaitinio gyventojų susirinkimo pravedimas</w:t>
            </w:r>
          </w:p>
        </w:tc>
        <w:tc>
          <w:tcPr>
            <w:tcW w:w="2537" w:type="dxa"/>
          </w:tcPr>
          <w:p w:rsidR="004745C8" w:rsidRPr="005C5B7D" w:rsidRDefault="004745C8" w:rsidP="00D44D8C">
            <w:pPr>
              <w:spacing w:before="100" w:beforeAutospacing="1" w:after="100" w:afterAutospacing="1"/>
            </w:pPr>
            <w:r w:rsidRPr="005C5B7D">
              <w:t>4,00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 xml:space="preserve">1.11. </w:t>
            </w:r>
          </w:p>
        </w:tc>
        <w:tc>
          <w:tcPr>
            <w:tcW w:w="6548" w:type="dxa"/>
          </w:tcPr>
          <w:p w:rsidR="004745C8" w:rsidRPr="005C5B7D" w:rsidRDefault="004745C8" w:rsidP="00D44D8C">
            <w:pPr>
              <w:tabs>
                <w:tab w:val="left" w:pos="2787"/>
              </w:tabs>
              <w:spacing w:line="278" w:lineRule="exact"/>
              <w:ind w:right="113"/>
            </w:pPr>
            <w:r w:rsidRPr="005C5B7D">
              <w:t>Namo bendrojo naudojimo objektų techninės priežiūros ir kitų paslaugų pirkimui konkurso organizavimas. Sutarčių sudarymas su paslaugų tiekėjais. Priežiūros ir sutarčių vykdymo kontrolė</w:t>
            </w:r>
          </w:p>
        </w:tc>
        <w:tc>
          <w:tcPr>
            <w:tcW w:w="2537" w:type="dxa"/>
          </w:tcPr>
          <w:p w:rsidR="004745C8" w:rsidRPr="005C5B7D" w:rsidRDefault="004745C8" w:rsidP="00D44D8C">
            <w:pPr>
              <w:tabs>
                <w:tab w:val="left" w:pos="2787"/>
              </w:tabs>
              <w:spacing w:line="278" w:lineRule="exact"/>
              <w:ind w:right="113"/>
            </w:pPr>
            <w:r>
              <w:t>14</w:t>
            </w:r>
            <w:r w:rsidRPr="005C5B7D">
              <w:t>,00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1.12.</w:t>
            </w:r>
          </w:p>
        </w:tc>
        <w:tc>
          <w:tcPr>
            <w:tcW w:w="6548" w:type="dxa"/>
          </w:tcPr>
          <w:p w:rsidR="004745C8" w:rsidRPr="005C5B7D" w:rsidRDefault="004745C8" w:rsidP="00D44D8C">
            <w:pPr>
              <w:spacing w:before="100" w:beforeAutospacing="1" w:after="100" w:afterAutospacing="1"/>
            </w:pPr>
            <w:r w:rsidRPr="005C5B7D">
              <w:t>Namo techninės ir kitos dokumentacijos tvarkymas</w:t>
            </w:r>
          </w:p>
        </w:tc>
        <w:tc>
          <w:tcPr>
            <w:tcW w:w="2537" w:type="dxa"/>
          </w:tcPr>
          <w:p w:rsidR="004745C8" w:rsidRPr="005C5B7D" w:rsidRDefault="004745C8" w:rsidP="00D44D8C">
            <w:pPr>
              <w:spacing w:before="100" w:beforeAutospacing="1" w:after="100" w:afterAutospacing="1"/>
            </w:pPr>
            <w:r w:rsidRPr="005C5B7D">
              <w:t>2,00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p>
        </w:tc>
        <w:tc>
          <w:tcPr>
            <w:tcW w:w="6548" w:type="dxa"/>
          </w:tcPr>
          <w:p w:rsidR="004745C8" w:rsidRPr="005C5B7D" w:rsidRDefault="004745C8" w:rsidP="00D44D8C">
            <w:pPr>
              <w:spacing w:before="100" w:beforeAutospacing="1" w:after="100" w:afterAutospacing="1"/>
              <w:ind w:left="360"/>
            </w:pPr>
            <w:r w:rsidRPr="005C5B7D">
              <w:t>Viso atliekama pagrindinių  darbų</w:t>
            </w:r>
          </w:p>
        </w:tc>
        <w:tc>
          <w:tcPr>
            <w:tcW w:w="2537" w:type="dxa"/>
          </w:tcPr>
          <w:p w:rsidR="004745C8" w:rsidRPr="005C5B7D" w:rsidRDefault="004745C8" w:rsidP="00D44D8C">
            <w:pPr>
              <w:spacing w:before="100" w:beforeAutospacing="1" w:after="100" w:afterAutospacing="1"/>
            </w:pPr>
            <w:r>
              <w:t>75,00</w:t>
            </w:r>
          </w:p>
        </w:tc>
      </w:tr>
      <w:tr w:rsidR="004745C8" w:rsidRPr="007917AC">
        <w:trPr>
          <w:trHeight w:val="20"/>
        </w:trPr>
        <w:tc>
          <w:tcPr>
            <w:tcW w:w="9889" w:type="dxa"/>
            <w:gridSpan w:val="3"/>
          </w:tcPr>
          <w:p w:rsidR="004745C8" w:rsidRPr="005C5B7D" w:rsidRDefault="004745C8" w:rsidP="00D44D8C">
            <w:pPr>
              <w:spacing w:before="100" w:beforeAutospacing="1" w:after="100" w:afterAutospacing="1"/>
            </w:pPr>
            <w:r>
              <w:t>2. Papildomi darbai (2.6.+</w:t>
            </w:r>
            <w:r w:rsidRPr="005C5B7D">
              <w:t>2.8.)</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2.1.</w:t>
            </w:r>
          </w:p>
        </w:tc>
        <w:tc>
          <w:tcPr>
            <w:tcW w:w="6548" w:type="dxa"/>
          </w:tcPr>
          <w:p w:rsidR="004745C8" w:rsidRPr="005C5B7D" w:rsidRDefault="004745C8" w:rsidP="00D44D8C">
            <w:pPr>
              <w:tabs>
                <w:tab w:val="left" w:pos="2787"/>
              </w:tabs>
              <w:spacing w:line="278" w:lineRule="exact"/>
              <w:ind w:right="113"/>
            </w:pPr>
            <w:r>
              <w:t>Namo bendrojo naudojimo objektų aprašo sudarymas</w:t>
            </w:r>
          </w:p>
        </w:tc>
        <w:tc>
          <w:tcPr>
            <w:tcW w:w="2537" w:type="dxa"/>
          </w:tcPr>
          <w:p w:rsidR="004745C8" w:rsidRDefault="004745C8" w:rsidP="00D44D8C">
            <w:pPr>
              <w:spacing w:before="100" w:beforeAutospacing="1" w:after="100" w:afterAutospacing="1"/>
            </w:pPr>
            <w:r>
              <w:t>8,00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2.2.</w:t>
            </w:r>
          </w:p>
        </w:tc>
        <w:tc>
          <w:tcPr>
            <w:tcW w:w="6548" w:type="dxa"/>
          </w:tcPr>
          <w:p w:rsidR="004745C8" w:rsidRPr="005C5B7D" w:rsidRDefault="004745C8" w:rsidP="00D44D8C">
            <w:pPr>
              <w:tabs>
                <w:tab w:val="left" w:pos="2787"/>
              </w:tabs>
              <w:spacing w:line="278" w:lineRule="exact"/>
              <w:ind w:right="113"/>
            </w:pPr>
            <w:r>
              <w:t>Techninio prižiūrėtojo paskyrimo konkurso organizavimas</w:t>
            </w:r>
          </w:p>
        </w:tc>
        <w:tc>
          <w:tcPr>
            <w:tcW w:w="2537" w:type="dxa"/>
          </w:tcPr>
          <w:p w:rsidR="004745C8" w:rsidRDefault="004745C8" w:rsidP="00D44D8C">
            <w:pPr>
              <w:spacing w:before="100" w:beforeAutospacing="1" w:after="100" w:afterAutospacing="1"/>
            </w:pPr>
            <w:r>
              <w:t>8,00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2.3.</w:t>
            </w:r>
          </w:p>
        </w:tc>
        <w:tc>
          <w:tcPr>
            <w:tcW w:w="6548" w:type="dxa"/>
          </w:tcPr>
          <w:p w:rsidR="004745C8" w:rsidRPr="005C5B7D" w:rsidRDefault="004745C8" w:rsidP="00D44D8C">
            <w:pPr>
              <w:tabs>
                <w:tab w:val="left" w:pos="2787"/>
              </w:tabs>
              <w:spacing w:line="278" w:lineRule="exact"/>
              <w:ind w:right="113"/>
            </w:pPr>
            <w:r>
              <w:t>Namo, jo konstrukcijų ir inžinerinės įrangos būklės tyrimo organizavimas</w:t>
            </w:r>
          </w:p>
        </w:tc>
        <w:tc>
          <w:tcPr>
            <w:tcW w:w="2537" w:type="dxa"/>
          </w:tcPr>
          <w:p w:rsidR="004745C8" w:rsidRDefault="004745C8" w:rsidP="00D44D8C">
            <w:pPr>
              <w:spacing w:before="100" w:beforeAutospacing="1" w:after="100" w:afterAutospacing="1"/>
            </w:pPr>
            <w:r>
              <w:t>8,00</w:t>
            </w:r>
          </w:p>
        </w:tc>
      </w:tr>
      <w:tr w:rsidR="004745C8" w:rsidRPr="007917AC" w:rsidTr="0013643A">
        <w:trPr>
          <w:trHeight w:val="20"/>
        </w:trPr>
        <w:tc>
          <w:tcPr>
            <w:tcW w:w="804" w:type="dxa"/>
          </w:tcPr>
          <w:p w:rsidR="004745C8" w:rsidRDefault="004745C8" w:rsidP="00D44D8C">
            <w:pPr>
              <w:spacing w:before="100" w:beforeAutospacing="1" w:after="100" w:afterAutospacing="1"/>
            </w:pPr>
            <w:r>
              <w:t>2.4.</w:t>
            </w:r>
          </w:p>
        </w:tc>
        <w:tc>
          <w:tcPr>
            <w:tcW w:w="6548" w:type="dxa"/>
          </w:tcPr>
          <w:p w:rsidR="004745C8" w:rsidRDefault="004745C8" w:rsidP="00D44D8C">
            <w:pPr>
              <w:tabs>
                <w:tab w:val="left" w:pos="2787"/>
              </w:tabs>
              <w:spacing w:line="278" w:lineRule="exact"/>
              <w:ind w:right="113"/>
            </w:pPr>
            <w:r>
              <w:t>Ilgalaikio namo atnaujinimo plano parengimo organizavimas</w:t>
            </w:r>
          </w:p>
        </w:tc>
        <w:tc>
          <w:tcPr>
            <w:tcW w:w="2537" w:type="dxa"/>
          </w:tcPr>
          <w:p w:rsidR="004745C8" w:rsidRDefault="004745C8" w:rsidP="00D44D8C">
            <w:pPr>
              <w:spacing w:before="100" w:beforeAutospacing="1" w:after="100" w:afterAutospacing="1"/>
            </w:pPr>
            <w:r>
              <w:t>12,00</w:t>
            </w:r>
          </w:p>
        </w:tc>
      </w:tr>
      <w:tr w:rsidR="004745C8" w:rsidRPr="007917AC" w:rsidTr="0013643A">
        <w:trPr>
          <w:trHeight w:val="20"/>
        </w:trPr>
        <w:tc>
          <w:tcPr>
            <w:tcW w:w="804" w:type="dxa"/>
          </w:tcPr>
          <w:p w:rsidR="004745C8" w:rsidRDefault="004745C8" w:rsidP="00D44D8C">
            <w:pPr>
              <w:spacing w:before="100" w:beforeAutospacing="1" w:after="100" w:afterAutospacing="1"/>
            </w:pPr>
            <w:r>
              <w:t>2.5.</w:t>
            </w:r>
          </w:p>
        </w:tc>
        <w:tc>
          <w:tcPr>
            <w:tcW w:w="6548" w:type="dxa"/>
          </w:tcPr>
          <w:p w:rsidR="004745C8" w:rsidRDefault="004745C8" w:rsidP="00D44D8C">
            <w:pPr>
              <w:tabs>
                <w:tab w:val="left" w:pos="2787"/>
              </w:tabs>
              <w:spacing w:line="278" w:lineRule="exact"/>
              <w:ind w:right="113"/>
            </w:pPr>
            <w:r>
              <w:t>Konkurso organizavimas rangovams namo atnaujinimo darbams</w:t>
            </w:r>
          </w:p>
        </w:tc>
        <w:tc>
          <w:tcPr>
            <w:tcW w:w="2537" w:type="dxa"/>
          </w:tcPr>
          <w:p w:rsidR="004745C8" w:rsidRDefault="004745C8" w:rsidP="00D44D8C">
            <w:pPr>
              <w:spacing w:before="100" w:beforeAutospacing="1" w:after="100" w:afterAutospacing="1"/>
            </w:pPr>
            <w:r>
              <w:t>16,00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2.</w:t>
            </w:r>
            <w:r>
              <w:t>6</w:t>
            </w:r>
            <w:r w:rsidRPr="005C5B7D">
              <w:t>.</w:t>
            </w:r>
          </w:p>
        </w:tc>
        <w:tc>
          <w:tcPr>
            <w:tcW w:w="6548" w:type="dxa"/>
          </w:tcPr>
          <w:p w:rsidR="004745C8" w:rsidRPr="005C5B7D" w:rsidRDefault="004745C8" w:rsidP="00D44D8C">
            <w:pPr>
              <w:tabs>
                <w:tab w:val="left" w:pos="2787"/>
              </w:tabs>
              <w:spacing w:line="278" w:lineRule="exact"/>
              <w:ind w:right="113"/>
            </w:pPr>
            <w:r w:rsidRPr="005C5B7D">
              <w:t>Neeilinio gyventojų susirinkimo pravedimas</w:t>
            </w:r>
          </w:p>
        </w:tc>
        <w:tc>
          <w:tcPr>
            <w:tcW w:w="2537" w:type="dxa"/>
          </w:tcPr>
          <w:p w:rsidR="004745C8" w:rsidRPr="005C5B7D" w:rsidRDefault="004745C8" w:rsidP="00D44D8C">
            <w:pPr>
              <w:spacing w:before="100" w:beforeAutospacing="1" w:after="100" w:afterAutospacing="1"/>
            </w:pPr>
            <w:r>
              <w:t>4</w:t>
            </w:r>
            <w:r w:rsidRPr="005C5B7D">
              <w:t>,00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t>2.</w:t>
            </w:r>
            <w:r>
              <w:t>7</w:t>
            </w:r>
            <w:r w:rsidRPr="005C5B7D">
              <w:t>.</w:t>
            </w:r>
          </w:p>
        </w:tc>
        <w:tc>
          <w:tcPr>
            <w:tcW w:w="6548" w:type="dxa"/>
          </w:tcPr>
          <w:p w:rsidR="004745C8" w:rsidRPr="005C5B7D" w:rsidRDefault="004745C8" w:rsidP="00D44D8C">
            <w:pPr>
              <w:tabs>
                <w:tab w:val="left" w:pos="2787"/>
              </w:tabs>
              <w:spacing w:line="278" w:lineRule="exact"/>
              <w:ind w:right="113"/>
            </w:pPr>
            <w:r w:rsidRPr="005C5B7D">
              <w:t>Informacijos patalpinimas informacinėse lentose</w:t>
            </w:r>
          </w:p>
        </w:tc>
        <w:tc>
          <w:tcPr>
            <w:tcW w:w="2537" w:type="dxa"/>
          </w:tcPr>
          <w:p w:rsidR="004745C8" w:rsidRPr="005C5B7D" w:rsidRDefault="004745C8" w:rsidP="00D44D8C">
            <w:pPr>
              <w:spacing w:before="100" w:beforeAutospacing="1" w:after="100" w:afterAutospacing="1"/>
            </w:pPr>
            <w:r>
              <w:t>6</w:t>
            </w:r>
            <w:r w:rsidRPr="005C5B7D">
              <w:t>,00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2.8.</w:t>
            </w:r>
          </w:p>
        </w:tc>
        <w:tc>
          <w:tcPr>
            <w:tcW w:w="6548" w:type="dxa"/>
          </w:tcPr>
          <w:p w:rsidR="004745C8" w:rsidRPr="005C5B7D" w:rsidRDefault="004745C8" w:rsidP="00D44D8C">
            <w:pPr>
              <w:tabs>
                <w:tab w:val="left" w:pos="2787"/>
              </w:tabs>
              <w:spacing w:line="278" w:lineRule="exact"/>
              <w:ind w:right="113"/>
            </w:pPr>
            <w:r>
              <w:t>Gyventojų apklausa raštu</w:t>
            </w:r>
          </w:p>
        </w:tc>
        <w:tc>
          <w:tcPr>
            <w:tcW w:w="2537" w:type="dxa"/>
          </w:tcPr>
          <w:p w:rsidR="004745C8" w:rsidRPr="005C5B7D" w:rsidRDefault="004745C8" w:rsidP="00D44D8C">
            <w:pPr>
              <w:spacing w:before="100" w:beforeAutospacing="1" w:after="100" w:afterAutospacing="1"/>
            </w:pPr>
            <w:r>
              <w:t>4,00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2.9.</w:t>
            </w:r>
          </w:p>
        </w:tc>
        <w:tc>
          <w:tcPr>
            <w:tcW w:w="6548" w:type="dxa"/>
          </w:tcPr>
          <w:p w:rsidR="004745C8" w:rsidRPr="005C5B7D" w:rsidRDefault="004745C8" w:rsidP="00D44D8C">
            <w:pPr>
              <w:tabs>
                <w:tab w:val="left" w:pos="2787"/>
              </w:tabs>
              <w:spacing w:line="278" w:lineRule="exact"/>
              <w:ind w:right="113"/>
            </w:pPr>
            <w:r>
              <w:t>Dalyvavimas komisijų darbe, pripažįstant suremontuotas patalpas arba kitus atliktus darbus</w:t>
            </w:r>
          </w:p>
        </w:tc>
        <w:tc>
          <w:tcPr>
            <w:tcW w:w="2537" w:type="dxa"/>
          </w:tcPr>
          <w:p w:rsidR="004745C8" w:rsidRPr="005C5B7D" w:rsidRDefault="004745C8" w:rsidP="00D44D8C">
            <w:pPr>
              <w:spacing w:before="100" w:beforeAutospacing="1" w:after="100" w:afterAutospacing="1"/>
            </w:pPr>
            <w:r>
              <w:t>4,00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rsidRPr="005C5B7D">
              <w:lastRenderedPageBreak/>
              <w:t>2.</w:t>
            </w:r>
            <w:r>
              <w:t>10</w:t>
            </w:r>
            <w:r w:rsidRPr="005C5B7D">
              <w:t>.</w:t>
            </w:r>
          </w:p>
        </w:tc>
        <w:tc>
          <w:tcPr>
            <w:tcW w:w="6548" w:type="dxa"/>
          </w:tcPr>
          <w:p w:rsidR="004745C8" w:rsidRPr="005C5B7D" w:rsidRDefault="004745C8" w:rsidP="00D44D8C">
            <w:pPr>
              <w:tabs>
                <w:tab w:val="left" w:pos="2787"/>
              </w:tabs>
              <w:spacing w:line="278" w:lineRule="exact"/>
              <w:ind w:right="113"/>
            </w:pPr>
            <w:r>
              <w:t>Dalyvavimas bylose, susijusiose su administraciniu turtu</w:t>
            </w:r>
          </w:p>
        </w:tc>
        <w:tc>
          <w:tcPr>
            <w:tcW w:w="2537" w:type="dxa"/>
          </w:tcPr>
          <w:p w:rsidR="004745C8" w:rsidRPr="005C5B7D" w:rsidRDefault="004745C8" w:rsidP="00D44D8C">
            <w:pPr>
              <w:spacing w:before="100" w:beforeAutospacing="1" w:after="100" w:afterAutospacing="1"/>
            </w:pPr>
            <w:r w:rsidRPr="005C5B7D">
              <w:t>2,00</w:t>
            </w:r>
          </w:p>
        </w:tc>
      </w:tr>
      <w:tr w:rsidR="004745C8" w:rsidRPr="007917AC" w:rsidTr="0013643A">
        <w:trPr>
          <w:trHeight w:val="20"/>
        </w:trPr>
        <w:tc>
          <w:tcPr>
            <w:tcW w:w="804" w:type="dxa"/>
          </w:tcPr>
          <w:p w:rsidR="004745C8" w:rsidRPr="005C5B7D" w:rsidRDefault="004745C8" w:rsidP="00D44D8C">
            <w:pPr>
              <w:spacing w:before="100" w:beforeAutospacing="1" w:after="100" w:afterAutospacing="1"/>
            </w:pPr>
            <w:r>
              <w:t>2.11.</w:t>
            </w:r>
          </w:p>
        </w:tc>
        <w:tc>
          <w:tcPr>
            <w:tcW w:w="6548" w:type="dxa"/>
          </w:tcPr>
          <w:p w:rsidR="004745C8" w:rsidRPr="005C5B7D" w:rsidRDefault="004745C8" w:rsidP="00D44D8C">
            <w:pPr>
              <w:tabs>
                <w:tab w:val="left" w:pos="2787"/>
              </w:tabs>
              <w:spacing w:line="278" w:lineRule="exact"/>
              <w:ind w:right="113"/>
            </w:pPr>
            <w:r>
              <w:t>Kiti nenumatyti darbai (pagal administravimo nuostatus)</w:t>
            </w:r>
          </w:p>
        </w:tc>
        <w:tc>
          <w:tcPr>
            <w:tcW w:w="2537" w:type="dxa"/>
          </w:tcPr>
          <w:p w:rsidR="004745C8" w:rsidRPr="005C5B7D" w:rsidRDefault="004745C8" w:rsidP="00D44D8C">
            <w:pPr>
              <w:spacing w:before="100" w:beforeAutospacing="1" w:after="100" w:afterAutospacing="1"/>
            </w:pPr>
          </w:p>
        </w:tc>
      </w:tr>
      <w:tr w:rsidR="004745C8" w:rsidRPr="007917AC" w:rsidTr="0013643A">
        <w:trPr>
          <w:trHeight w:val="20"/>
        </w:trPr>
        <w:tc>
          <w:tcPr>
            <w:tcW w:w="804" w:type="dxa"/>
            <w:tcBorders>
              <w:bottom w:val="double" w:sz="6" w:space="0" w:color="000000"/>
            </w:tcBorders>
          </w:tcPr>
          <w:p w:rsidR="004745C8" w:rsidRPr="005C5B7D" w:rsidRDefault="004745C8" w:rsidP="00D44D8C">
            <w:pPr>
              <w:spacing w:before="100" w:beforeAutospacing="1" w:after="100" w:afterAutospacing="1"/>
            </w:pPr>
          </w:p>
        </w:tc>
        <w:tc>
          <w:tcPr>
            <w:tcW w:w="6548" w:type="dxa"/>
            <w:tcBorders>
              <w:bottom w:val="double" w:sz="6" w:space="0" w:color="000000"/>
            </w:tcBorders>
          </w:tcPr>
          <w:p w:rsidR="004745C8" w:rsidRPr="005C5B7D" w:rsidRDefault="004745C8" w:rsidP="00D44D8C">
            <w:pPr>
              <w:spacing w:before="100" w:beforeAutospacing="1" w:after="100" w:afterAutospacing="1"/>
              <w:jc w:val="both"/>
              <w:rPr>
                <w:b/>
              </w:rPr>
            </w:pPr>
            <w:r w:rsidRPr="005C5B7D">
              <w:t xml:space="preserve">Viso atliekama papildomų darbų </w:t>
            </w:r>
          </w:p>
        </w:tc>
        <w:tc>
          <w:tcPr>
            <w:tcW w:w="2537" w:type="dxa"/>
            <w:tcBorders>
              <w:bottom w:val="double" w:sz="6" w:space="0" w:color="000000"/>
            </w:tcBorders>
          </w:tcPr>
          <w:p w:rsidR="004745C8" w:rsidRPr="00E6213E" w:rsidRDefault="004745C8" w:rsidP="00D44D8C">
            <w:pPr>
              <w:spacing w:before="100" w:beforeAutospacing="1" w:after="100" w:afterAutospacing="1"/>
            </w:pPr>
            <w:r w:rsidRPr="00E6213E">
              <w:t>8,00</w:t>
            </w:r>
          </w:p>
        </w:tc>
      </w:tr>
    </w:tbl>
    <w:p w:rsidR="004745C8" w:rsidRDefault="004745C8" w:rsidP="00D44D8C">
      <w:pPr>
        <w:ind w:left="3888"/>
        <w:jc w:val="both"/>
      </w:pPr>
    </w:p>
    <w:p w:rsidR="004745C8" w:rsidRDefault="004745C8" w:rsidP="00D44D8C">
      <w:pPr>
        <w:jc w:val="both"/>
      </w:pPr>
      <w:r>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w:t>
      </w:r>
    </w:p>
    <w:p w:rsidR="004745C8" w:rsidRDefault="004745C8" w:rsidP="00594FDA">
      <w:pPr>
        <w:jc w:val="both"/>
      </w:pPr>
    </w:p>
    <w:sectPr w:rsidR="004745C8" w:rsidSect="00267763">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rPr>
        <w:rFonts w:cs="Times New Roman"/>
      </w:rPr>
    </w:lvl>
    <w:lvl w:ilvl="1" w:tplc="04270019">
      <w:start w:val="1"/>
      <w:numFmt w:val="lowerLetter"/>
      <w:lvlText w:val="%2."/>
      <w:lvlJc w:val="left"/>
      <w:pPr>
        <w:tabs>
          <w:tab w:val="num" w:pos="-4885"/>
        </w:tabs>
        <w:ind w:left="-4885" w:hanging="360"/>
      </w:pPr>
      <w:rPr>
        <w:rFonts w:cs="Times New Roman"/>
      </w:rPr>
    </w:lvl>
    <w:lvl w:ilvl="2" w:tplc="0427001B">
      <w:start w:val="1"/>
      <w:numFmt w:val="lowerRoman"/>
      <w:lvlText w:val="%3."/>
      <w:lvlJc w:val="right"/>
      <w:pPr>
        <w:tabs>
          <w:tab w:val="num" w:pos="-4165"/>
        </w:tabs>
        <w:ind w:left="-4165" w:hanging="180"/>
      </w:pPr>
      <w:rPr>
        <w:rFonts w:cs="Times New Roman"/>
      </w:rPr>
    </w:lvl>
    <w:lvl w:ilvl="3" w:tplc="0427000F">
      <w:start w:val="1"/>
      <w:numFmt w:val="decimal"/>
      <w:lvlText w:val="%4."/>
      <w:lvlJc w:val="left"/>
      <w:pPr>
        <w:tabs>
          <w:tab w:val="num" w:pos="-3445"/>
        </w:tabs>
        <w:ind w:left="-3445" w:hanging="360"/>
      </w:pPr>
      <w:rPr>
        <w:rFonts w:cs="Times New Roman"/>
      </w:rPr>
    </w:lvl>
    <w:lvl w:ilvl="4" w:tplc="04270019">
      <w:start w:val="1"/>
      <w:numFmt w:val="lowerLetter"/>
      <w:lvlText w:val="%5."/>
      <w:lvlJc w:val="left"/>
      <w:pPr>
        <w:tabs>
          <w:tab w:val="num" w:pos="-2725"/>
        </w:tabs>
        <w:ind w:left="-2725" w:hanging="360"/>
      </w:pPr>
      <w:rPr>
        <w:rFonts w:cs="Times New Roman"/>
      </w:rPr>
    </w:lvl>
    <w:lvl w:ilvl="5" w:tplc="0427001B">
      <w:start w:val="1"/>
      <w:numFmt w:val="lowerRoman"/>
      <w:lvlText w:val="%6."/>
      <w:lvlJc w:val="right"/>
      <w:pPr>
        <w:tabs>
          <w:tab w:val="num" w:pos="-2005"/>
        </w:tabs>
        <w:ind w:left="-2005" w:hanging="180"/>
      </w:pPr>
      <w:rPr>
        <w:rFonts w:cs="Times New Roman"/>
      </w:rPr>
    </w:lvl>
    <w:lvl w:ilvl="6" w:tplc="0427000F">
      <w:start w:val="1"/>
      <w:numFmt w:val="decimal"/>
      <w:lvlText w:val="%7."/>
      <w:lvlJc w:val="left"/>
      <w:pPr>
        <w:tabs>
          <w:tab w:val="num" w:pos="-1285"/>
        </w:tabs>
        <w:ind w:left="-1285" w:hanging="360"/>
      </w:pPr>
      <w:rPr>
        <w:rFonts w:cs="Times New Roman"/>
      </w:rPr>
    </w:lvl>
    <w:lvl w:ilvl="7" w:tplc="04270019">
      <w:start w:val="1"/>
      <w:numFmt w:val="lowerLetter"/>
      <w:lvlText w:val="%8."/>
      <w:lvlJc w:val="left"/>
      <w:pPr>
        <w:tabs>
          <w:tab w:val="num" w:pos="-565"/>
        </w:tabs>
        <w:ind w:left="-565" w:hanging="360"/>
      </w:pPr>
      <w:rPr>
        <w:rFonts w:cs="Times New Roman"/>
      </w:rPr>
    </w:lvl>
    <w:lvl w:ilvl="8" w:tplc="0427001B">
      <w:start w:val="1"/>
      <w:numFmt w:val="lowerRoman"/>
      <w:lvlText w:val="%9."/>
      <w:lvlJc w:val="right"/>
      <w:pPr>
        <w:tabs>
          <w:tab w:val="num" w:pos="155"/>
        </w:tabs>
        <w:ind w:left="15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A7B"/>
    <w:rsid w:val="000056DE"/>
    <w:rsid w:val="00015605"/>
    <w:rsid w:val="0002187F"/>
    <w:rsid w:val="0003172C"/>
    <w:rsid w:val="000328EE"/>
    <w:rsid w:val="00035D46"/>
    <w:rsid w:val="00064E0A"/>
    <w:rsid w:val="00072080"/>
    <w:rsid w:val="000A29F1"/>
    <w:rsid w:val="000D0B1B"/>
    <w:rsid w:val="000D6CBF"/>
    <w:rsid w:val="000F6669"/>
    <w:rsid w:val="0013643A"/>
    <w:rsid w:val="001404FA"/>
    <w:rsid w:val="001452BD"/>
    <w:rsid w:val="00156421"/>
    <w:rsid w:val="001767B0"/>
    <w:rsid w:val="00177CDB"/>
    <w:rsid w:val="00180EB4"/>
    <w:rsid w:val="00190AFF"/>
    <w:rsid w:val="00234D8B"/>
    <w:rsid w:val="002426B1"/>
    <w:rsid w:val="00267763"/>
    <w:rsid w:val="00280A3F"/>
    <w:rsid w:val="002A2460"/>
    <w:rsid w:val="002C4567"/>
    <w:rsid w:val="002E201F"/>
    <w:rsid w:val="002E25C0"/>
    <w:rsid w:val="002E5472"/>
    <w:rsid w:val="00316F5F"/>
    <w:rsid w:val="003170F3"/>
    <w:rsid w:val="00395865"/>
    <w:rsid w:val="003E6035"/>
    <w:rsid w:val="003E6075"/>
    <w:rsid w:val="00401A6D"/>
    <w:rsid w:val="004022D5"/>
    <w:rsid w:val="004168AE"/>
    <w:rsid w:val="004418F1"/>
    <w:rsid w:val="004745C8"/>
    <w:rsid w:val="004A1DC7"/>
    <w:rsid w:val="004C23D9"/>
    <w:rsid w:val="004F06DF"/>
    <w:rsid w:val="0051437B"/>
    <w:rsid w:val="005249E0"/>
    <w:rsid w:val="00552586"/>
    <w:rsid w:val="00565956"/>
    <w:rsid w:val="00577823"/>
    <w:rsid w:val="00594411"/>
    <w:rsid w:val="00594FDA"/>
    <w:rsid w:val="005A7305"/>
    <w:rsid w:val="005C1359"/>
    <w:rsid w:val="005C5B7D"/>
    <w:rsid w:val="005D14A1"/>
    <w:rsid w:val="005E1008"/>
    <w:rsid w:val="0063447B"/>
    <w:rsid w:val="00635EB9"/>
    <w:rsid w:val="00646435"/>
    <w:rsid w:val="006663BA"/>
    <w:rsid w:val="006725AF"/>
    <w:rsid w:val="00686AAB"/>
    <w:rsid w:val="0069272A"/>
    <w:rsid w:val="006D2CDB"/>
    <w:rsid w:val="006F5609"/>
    <w:rsid w:val="007259DF"/>
    <w:rsid w:val="00725F6E"/>
    <w:rsid w:val="007329FF"/>
    <w:rsid w:val="00755A7B"/>
    <w:rsid w:val="007643DB"/>
    <w:rsid w:val="007917AC"/>
    <w:rsid w:val="00793376"/>
    <w:rsid w:val="007D46EC"/>
    <w:rsid w:val="007E32FE"/>
    <w:rsid w:val="008716A4"/>
    <w:rsid w:val="008A2424"/>
    <w:rsid w:val="008B7502"/>
    <w:rsid w:val="008D2890"/>
    <w:rsid w:val="008D3228"/>
    <w:rsid w:val="008E5BEA"/>
    <w:rsid w:val="008F791E"/>
    <w:rsid w:val="009027B9"/>
    <w:rsid w:val="0096370B"/>
    <w:rsid w:val="00981B0D"/>
    <w:rsid w:val="00990F17"/>
    <w:rsid w:val="009B5610"/>
    <w:rsid w:val="009B6486"/>
    <w:rsid w:val="009C016B"/>
    <w:rsid w:val="009E37B2"/>
    <w:rsid w:val="009F5241"/>
    <w:rsid w:val="00A41AE9"/>
    <w:rsid w:val="00A7342C"/>
    <w:rsid w:val="00A819E5"/>
    <w:rsid w:val="00AD313A"/>
    <w:rsid w:val="00B47ACA"/>
    <w:rsid w:val="00B638BF"/>
    <w:rsid w:val="00B75201"/>
    <w:rsid w:val="00BA677A"/>
    <w:rsid w:val="00BB69F9"/>
    <w:rsid w:val="00BC694E"/>
    <w:rsid w:val="00C1764D"/>
    <w:rsid w:val="00CA1B24"/>
    <w:rsid w:val="00CB00D1"/>
    <w:rsid w:val="00CB57DC"/>
    <w:rsid w:val="00D23F4A"/>
    <w:rsid w:val="00D411AB"/>
    <w:rsid w:val="00D44D8C"/>
    <w:rsid w:val="00D56554"/>
    <w:rsid w:val="00D76676"/>
    <w:rsid w:val="00D800FF"/>
    <w:rsid w:val="00DD26C5"/>
    <w:rsid w:val="00DE1075"/>
    <w:rsid w:val="00DE2EB2"/>
    <w:rsid w:val="00DE6703"/>
    <w:rsid w:val="00E11ADE"/>
    <w:rsid w:val="00E155A9"/>
    <w:rsid w:val="00E61579"/>
    <w:rsid w:val="00E6213E"/>
    <w:rsid w:val="00E725B7"/>
    <w:rsid w:val="00EA224B"/>
    <w:rsid w:val="00EA5183"/>
    <w:rsid w:val="00EE3AA3"/>
    <w:rsid w:val="00F01168"/>
    <w:rsid w:val="00F81EDE"/>
    <w:rsid w:val="00F877D5"/>
    <w:rsid w:val="00FB53D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8B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2E25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793376"/>
    <w:rPr>
      <w:rFonts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8B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2E25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793376"/>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26097">
      <w:marLeft w:val="0"/>
      <w:marRight w:val="0"/>
      <w:marTop w:val="0"/>
      <w:marBottom w:val="0"/>
      <w:divBdr>
        <w:top w:val="none" w:sz="0" w:space="0" w:color="auto"/>
        <w:left w:val="none" w:sz="0" w:space="0" w:color="auto"/>
        <w:bottom w:val="none" w:sz="0" w:space="0" w:color="auto"/>
        <w:right w:val="none" w:sz="0" w:space="0" w:color="auto"/>
      </w:divBdr>
    </w:div>
    <w:div w:id="17783260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4A938902</Template>
  <TotalTime>1</TotalTime>
  <Pages>9</Pages>
  <Words>9378</Words>
  <Characters>5347</Characters>
  <Application>Microsoft Office Word</Application>
  <DocSecurity>4</DocSecurity>
  <Lines>44</Lines>
  <Paragraphs>29</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2</cp:revision>
  <cp:lastPrinted>2015-10-08T05:14:00Z</cp:lastPrinted>
  <dcterms:created xsi:type="dcterms:W3CDTF">2015-10-08T13:16:00Z</dcterms:created>
  <dcterms:modified xsi:type="dcterms:W3CDTF">2015-10-08T13:16:00Z</dcterms:modified>
</cp:coreProperties>
</file>